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9AA96">
      <w:pPr>
        <w:spacing w:before="156" w:beforeLines="50" w:after="156" w:afterLines="50" w:line="360" w:lineRule="auto"/>
        <w:ind w:left="558" w:hanging="560" w:hangingChars="155"/>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教师教育学院“教师职业素养”微专业</w:t>
      </w:r>
    </w:p>
    <w:p w14:paraId="75BD30C8">
      <w:pPr>
        <w:spacing w:before="156" w:beforeLines="50" w:after="156" w:afterLines="50" w:line="360" w:lineRule="auto"/>
        <w:ind w:left="558" w:hanging="560" w:hangingChars="155"/>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2026年招生简章</w:t>
      </w:r>
    </w:p>
    <w:p w14:paraId="0D7C7AD2">
      <w:pPr>
        <w:widowControl/>
        <w:spacing w:after="156" w:line="0" w:lineRule="atLeast"/>
        <w:ind w:firstLine="560" w:firstLineChars="200"/>
        <w:jc w:val="left"/>
        <w:rPr>
          <w:rFonts w:hint="eastAsia" w:ascii="黑体" w:hAnsi="黑体" w:eastAsia="黑体" w:cs="黑体"/>
          <w:bCs/>
          <w:sz w:val="28"/>
          <w:szCs w:val="28"/>
        </w:rPr>
      </w:pPr>
    </w:p>
    <w:p w14:paraId="0F0F5949">
      <w:pPr>
        <w:widowControl/>
        <w:spacing w:after="156" w:line="0" w:lineRule="atLeast"/>
        <w:ind w:firstLine="560" w:firstLineChars="200"/>
        <w:jc w:val="left"/>
        <w:rPr>
          <w:rFonts w:hint="default" w:ascii="黑体" w:hAnsi="黑体" w:eastAsia="黑体" w:cs="黑体"/>
          <w:bCs/>
          <w:sz w:val="28"/>
          <w:szCs w:val="28"/>
          <w:lang w:val="en-US" w:eastAsia="zh-CN"/>
        </w:rPr>
      </w:pPr>
      <w:r>
        <w:rPr>
          <w:rFonts w:hint="eastAsia" w:ascii="黑体" w:hAnsi="黑体" w:eastAsia="黑体" w:cs="黑体"/>
          <w:bCs/>
          <w:sz w:val="28"/>
          <w:szCs w:val="28"/>
        </w:rPr>
        <w:t>一、</w:t>
      </w:r>
      <w:r>
        <w:rPr>
          <w:rFonts w:hint="eastAsia" w:ascii="黑体" w:hAnsi="黑体" w:eastAsia="黑体" w:cs="黑体"/>
          <w:bCs/>
          <w:sz w:val="28"/>
          <w:szCs w:val="28"/>
          <w:lang w:val="en-US" w:eastAsia="zh-CN"/>
        </w:rPr>
        <w:t>微专业简介</w:t>
      </w:r>
    </w:p>
    <w:p w14:paraId="2C3BE50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color w:val="auto"/>
          <w:kern w:val="0"/>
          <w:sz w:val="28"/>
          <w:szCs w:val="28"/>
          <w:lang w:val="en-US" w:eastAsia="zh-CN" w:bidi="ar"/>
        </w:rPr>
        <w:t>“教师职业素养”微专业面向我校各专业学生开设，重点解决学生参加国家教师资格证考试和进一步提升教师职业素养，实现高质量就业的核心问题。充分利用教师教育学院多年来围绕国家教师资格证开展教师教育课程建设与课堂教学改革的优势，</w:t>
      </w:r>
      <w:r>
        <w:rPr>
          <w:rFonts w:hint="eastAsia" w:ascii="仿宋" w:hAnsi="仿宋" w:eastAsia="仿宋" w:cs="仿宋"/>
          <w:sz w:val="28"/>
          <w:szCs w:val="28"/>
        </w:rPr>
        <w:t>遴选</w:t>
      </w:r>
      <w:r>
        <w:rPr>
          <w:rFonts w:hint="eastAsia" w:ascii="仿宋" w:hAnsi="仿宋" w:eastAsia="仿宋" w:cs="仿宋"/>
          <w:sz w:val="28"/>
          <w:szCs w:val="28"/>
          <w:lang w:val="en-US" w:eastAsia="zh-CN"/>
        </w:rPr>
        <w:t>具有教育情怀、</w:t>
      </w:r>
      <w:r>
        <w:rPr>
          <w:rFonts w:hint="eastAsia" w:ascii="仿宋" w:hAnsi="仿宋" w:eastAsia="仿宋" w:cs="仿宋"/>
          <w:sz w:val="28"/>
          <w:szCs w:val="28"/>
        </w:rPr>
        <w:t>综合素质强、</w:t>
      </w:r>
      <w:r>
        <w:rPr>
          <w:rFonts w:hint="eastAsia" w:ascii="仿宋" w:hAnsi="仿宋" w:eastAsia="仿宋" w:cs="仿宋"/>
          <w:sz w:val="28"/>
          <w:szCs w:val="28"/>
          <w:lang w:val="en-US" w:eastAsia="zh-CN"/>
        </w:rPr>
        <w:t>渴望成为中小学教师</w:t>
      </w:r>
      <w:r>
        <w:rPr>
          <w:rFonts w:hint="eastAsia" w:ascii="仿宋" w:hAnsi="仿宋" w:eastAsia="仿宋" w:cs="仿宋"/>
          <w:sz w:val="28"/>
          <w:szCs w:val="28"/>
        </w:rPr>
        <w:t>的本科生</w:t>
      </w:r>
      <w:r>
        <w:rPr>
          <w:rFonts w:hint="eastAsia" w:ascii="仿宋" w:hAnsi="仿宋" w:eastAsia="仿宋" w:cs="仿宋"/>
          <w:sz w:val="28"/>
          <w:szCs w:val="28"/>
          <w:lang w:eastAsia="zh-CN"/>
        </w:rPr>
        <w:t>。</w:t>
      </w:r>
    </w:p>
    <w:p w14:paraId="63E21F48">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通过本微专业相关课程的学习，部分学生能够掌握扎实的教师教育理论和学科专业知识，提升教师面试基本能力，考取国家教师资格证书。部分学生能够具有先进的教育理念、高尚的教师职业道德和育人情怀，具备较强的教育教学及管理能力，胜任中小学教育教学及管理工作，成为一名优秀的中小学教师。</w:t>
      </w:r>
    </w:p>
    <w:p w14:paraId="439DCBC5">
      <w:pPr>
        <w:widowControl/>
        <w:numPr>
          <w:ilvl w:val="0"/>
          <w:numId w:val="0"/>
        </w:numPr>
        <w:spacing w:after="156" w:line="0" w:lineRule="atLeast"/>
        <w:ind w:firstLine="560" w:firstLineChars="200"/>
        <w:jc w:val="lef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二、培养目标</w:t>
      </w:r>
    </w:p>
    <w:p w14:paraId="3CFE5125">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专业面向国家2035年建成教育强国目标的教师教育人才需求，培养具有先进的教育理念、高尚的教师职业道德和育人情怀，拥有扎实的教师教育理论基础，具备较强的教育教学及管理能力，突出的教学实践能力和反思能力，能够在中小学等相关教育领域从事教育教学及管理工作的高素质复合型教师教育人才。</w:t>
      </w:r>
    </w:p>
    <w:p w14:paraId="1F96CDCA">
      <w:pPr>
        <w:keepNext w:val="0"/>
        <w:keepLines w:val="0"/>
        <w:pageBreakBefore w:val="0"/>
        <w:widowControl/>
        <w:suppressLineNumbers w:val="0"/>
        <w:kinsoku/>
        <w:wordWrap/>
        <w:overflowPunct/>
        <w:topLinePunct w:val="0"/>
        <w:autoSpaceDE/>
        <w:autoSpaceDN/>
        <w:bidi w:val="0"/>
        <w:adjustRightInd/>
        <w:snapToGrid/>
        <w:spacing w:line="288" w:lineRule="auto"/>
        <w:ind w:firstLine="562" w:firstLineChars="200"/>
        <w:jc w:val="left"/>
        <w:textAlignment w:val="auto"/>
        <w:rPr>
          <w:rFonts w:hint="eastAsia" w:ascii="仿宋" w:hAnsi="仿宋" w:eastAsia="微软雅黑" w:cs="仿宋"/>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本专业毕业生培养目标预期：</w:t>
      </w:r>
    </w:p>
    <w:p w14:paraId="62BBE941">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1.拥有高尚的师德师风，树立敬业爱生、教书育人、为人师表的职业操守，具有积极正向的教育情怀与价值观。</w:t>
      </w:r>
    </w:p>
    <w:p w14:paraId="23A69692">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2.掌握教育学科基本理论与专业知识，包括教育学与心理学的综合理论基础，深入理解教育教学规律，为教育实践筑牢理论根基。</w:t>
      </w:r>
    </w:p>
    <w:p w14:paraId="5E6470E8">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3.具有较强的教学实践能力，说课、教学设计、课堂教学与管理、教学评价等方面，能灵活运用多样化教学方法与现代教育技术开展教学活动。</w:t>
      </w:r>
    </w:p>
    <w:p w14:paraId="3339E8E7">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default" w:ascii="仿宋" w:hAnsi="仿宋" w:eastAsia="仿宋" w:cs="仿宋"/>
          <w:color w:val="auto"/>
          <w:kern w:val="0"/>
          <w:sz w:val="28"/>
          <w:szCs w:val="28"/>
          <w:highlight w:val="none"/>
          <w:lang w:val="en-US" w:eastAsia="zh-CN" w:bidi="ar"/>
        </w:rPr>
      </w:pPr>
    </w:p>
    <w:p w14:paraId="545CF768">
      <w:pPr>
        <w:widowControl/>
        <w:numPr>
          <w:ilvl w:val="0"/>
          <w:numId w:val="0"/>
        </w:numPr>
        <w:spacing w:after="156" w:line="0" w:lineRule="atLeast"/>
        <w:ind w:firstLine="560" w:firstLineChars="200"/>
        <w:jc w:val="lef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三、主要课程</w:t>
      </w:r>
    </w:p>
    <w:p w14:paraId="2975595C">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教育理论综合、教育心理学综合、教师职业道德与政策法规、教师职业能力训练1、教师职业能力训练2。（课程主要以培养学生教育思维与教育实践能力为主）</w:t>
      </w:r>
    </w:p>
    <w:p w14:paraId="5BD6ED9A">
      <w:pPr>
        <w:numPr>
          <w:ilvl w:val="0"/>
          <w:numId w:val="0"/>
        </w:numPr>
        <w:spacing w:before="156" w:beforeLines="50" w:after="156" w:afterLines="50"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招生对象</w:t>
      </w:r>
    </w:p>
    <w:p w14:paraId="64C4F20E">
      <w:pPr>
        <w:widowControl/>
        <w:ind w:firstLine="560" w:firstLineChars="200"/>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大二</w:t>
      </w:r>
      <w:r>
        <w:rPr>
          <w:rFonts w:hint="eastAsia" w:ascii="仿宋_GB2312" w:eastAsia="仿宋_GB2312" w:cs="Times New Roman"/>
          <w:color w:val="auto"/>
          <w:sz w:val="28"/>
          <w:szCs w:val="28"/>
          <w:lang w:val="en-US" w:eastAsia="zh-CN"/>
        </w:rPr>
        <w:t>及</w:t>
      </w:r>
      <w:r>
        <w:rPr>
          <w:rFonts w:hint="eastAsia" w:ascii="仿宋_GB2312" w:hAnsi="Times New Roman" w:eastAsia="仿宋_GB2312" w:cs="Times New Roman"/>
          <w:color w:val="auto"/>
          <w:sz w:val="28"/>
          <w:szCs w:val="28"/>
          <w:lang w:val="en-US" w:eastAsia="zh-CN"/>
        </w:rPr>
        <w:t>以上全校各专业</w:t>
      </w:r>
      <w:r>
        <w:rPr>
          <w:rFonts w:hint="eastAsia" w:ascii="仿宋_GB2312" w:eastAsia="仿宋_GB2312" w:cs="Times New Roman"/>
          <w:color w:val="auto"/>
          <w:sz w:val="28"/>
          <w:szCs w:val="28"/>
          <w:lang w:val="en-US" w:eastAsia="zh-CN"/>
        </w:rPr>
        <w:t>本科生</w:t>
      </w:r>
      <w:r>
        <w:rPr>
          <w:rFonts w:hint="eastAsia" w:ascii="仿宋_GB2312" w:hAnsi="Times New Roman" w:eastAsia="仿宋_GB2312" w:cs="Times New Roman"/>
          <w:color w:val="auto"/>
          <w:sz w:val="28"/>
          <w:szCs w:val="28"/>
          <w:lang w:val="en-US" w:eastAsia="zh-CN"/>
        </w:rPr>
        <w:t>。</w:t>
      </w:r>
    </w:p>
    <w:p w14:paraId="59540164">
      <w:pPr>
        <w:spacing w:before="156" w:beforeLines="50" w:after="156" w:afterLines="50" w:line="480" w:lineRule="exact"/>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五、招生人数</w:t>
      </w:r>
    </w:p>
    <w:p w14:paraId="1DD852E5">
      <w:pPr>
        <w:spacing w:before="156" w:beforeLines="50" w:after="156" w:afterLines="50" w:line="480" w:lineRule="exac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eastAsia="仿宋_GB2312"/>
          <w:color w:val="auto"/>
          <w:sz w:val="28"/>
          <w:szCs w:val="28"/>
          <w:lang w:val="en-US" w:eastAsia="zh-CN"/>
        </w:rPr>
        <w:t xml:space="preserve"> 计划招生50人。</w:t>
      </w:r>
    </w:p>
    <w:p w14:paraId="2A2C4653">
      <w:pPr>
        <w:spacing w:before="156" w:beforeLines="50" w:after="156" w:afterLines="50" w:line="480" w:lineRule="exact"/>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六、学制、学分与证书</w:t>
      </w:r>
    </w:p>
    <w:p w14:paraId="49DFECF2">
      <w:pPr>
        <w:widowControl/>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学制：1年</w:t>
      </w:r>
    </w:p>
    <w:p w14:paraId="3DC24050">
      <w:pPr>
        <w:widowControl/>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学分：10学分</w:t>
      </w:r>
    </w:p>
    <w:p w14:paraId="617B3A2F">
      <w:pPr>
        <w:widowControl/>
        <w:ind w:firstLine="560" w:firstLineChars="200"/>
        <w:rPr>
          <w:rFonts w:hint="default" w:ascii="黑体" w:hAnsi="黑体" w:eastAsia="黑体" w:cs="黑体"/>
          <w:bCs/>
          <w:sz w:val="28"/>
          <w:szCs w:val="28"/>
          <w:lang w:val="en-US" w:eastAsia="zh-CN"/>
        </w:rPr>
      </w:pPr>
      <w:r>
        <w:rPr>
          <w:rFonts w:hint="eastAsia" w:ascii="仿宋_GB2312" w:eastAsia="仿宋_GB2312"/>
          <w:color w:val="auto"/>
          <w:sz w:val="28"/>
          <w:szCs w:val="28"/>
          <w:lang w:val="en-US" w:eastAsia="zh-CN"/>
        </w:rPr>
        <w:t>学生在本科毕业或结业离校前，修完微专业培养方案规定的课程，且成绩全部合格，颁发学校微专业证书。</w:t>
      </w:r>
    </w:p>
    <w:p w14:paraId="575D3177">
      <w:pPr>
        <w:spacing w:before="156" w:beforeLines="50" w:after="156" w:afterLines="50" w:line="480" w:lineRule="exact"/>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七、教学安排</w:t>
      </w:r>
    </w:p>
    <w:p w14:paraId="47F88ADA">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微专业将单独编班组织教学，利用正常学期晚上、周末集中时间授课。</w:t>
      </w:r>
    </w:p>
    <w:p w14:paraId="2BE0FAFA">
      <w:pPr>
        <w:widowControl/>
        <w:numPr>
          <w:ilvl w:val="0"/>
          <w:numId w:val="0"/>
        </w:numPr>
        <w:spacing w:line="360" w:lineRule="auto"/>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八、报名办法及选拔方式</w:t>
      </w:r>
    </w:p>
    <w:p w14:paraId="3E4ACA2F">
      <w:pPr>
        <w:widowControl/>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报名办法：</w:t>
      </w:r>
      <w:r>
        <w:rPr>
          <w:rFonts w:hint="eastAsia" w:ascii="仿宋_GB2312" w:eastAsia="仿宋_GB2312" w:cs="Times New Roman"/>
          <w:color w:val="auto"/>
          <w:sz w:val="28"/>
          <w:szCs w:val="28"/>
          <w:lang w:val="en-US" w:eastAsia="zh-CN"/>
        </w:rPr>
        <w:t>学</w:t>
      </w:r>
      <w:r>
        <w:rPr>
          <w:rFonts w:hint="eastAsia" w:ascii="仿宋_GB2312" w:hAnsi="Times New Roman" w:eastAsia="仿宋_GB2312" w:cs="Times New Roman"/>
          <w:color w:val="auto"/>
          <w:sz w:val="28"/>
          <w:szCs w:val="28"/>
          <w:lang w:val="en-US" w:eastAsia="zh-CN"/>
        </w:rPr>
        <w:t>生本人持身份证原件及校园卡到</w:t>
      </w:r>
      <w:r>
        <w:rPr>
          <w:rFonts w:hint="eastAsia" w:ascii="仿宋_GB2312" w:eastAsia="仿宋_GB2312" w:cs="Times New Roman"/>
          <w:color w:val="auto"/>
          <w:sz w:val="28"/>
          <w:szCs w:val="28"/>
          <w:lang w:val="en-US" w:eastAsia="zh-CN"/>
        </w:rPr>
        <w:t>教师教育</w:t>
      </w:r>
      <w:r>
        <w:rPr>
          <w:rFonts w:hint="eastAsia" w:ascii="仿宋_GB2312" w:hAnsi="Times New Roman" w:eastAsia="仿宋_GB2312" w:cs="Times New Roman"/>
          <w:color w:val="auto"/>
          <w:sz w:val="28"/>
          <w:szCs w:val="28"/>
          <w:lang w:val="en-US" w:eastAsia="zh-CN"/>
        </w:rPr>
        <w:t>学院</w:t>
      </w:r>
      <w:r>
        <w:rPr>
          <w:rFonts w:hint="eastAsia" w:ascii="仿宋_GB2312" w:eastAsia="仿宋_GB2312" w:cs="Times New Roman"/>
          <w:color w:val="auto"/>
          <w:sz w:val="28"/>
          <w:szCs w:val="28"/>
          <w:lang w:val="en-US" w:eastAsia="zh-CN"/>
        </w:rPr>
        <w:t>培养部</w:t>
      </w:r>
      <w:r>
        <w:rPr>
          <w:rFonts w:hint="eastAsia" w:ascii="仿宋_GB2312" w:hAnsi="Times New Roman" w:eastAsia="仿宋_GB2312" w:cs="Times New Roman"/>
          <w:color w:val="auto"/>
          <w:sz w:val="28"/>
          <w:szCs w:val="28"/>
          <w:lang w:val="en-US" w:eastAsia="zh-CN"/>
        </w:rPr>
        <w:t>办公室（</w:t>
      </w:r>
      <w:r>
        <w:rPr>
          <w:rFonts w:hint="eastAsia" w:ascii="仿宋_GB2312" w:eastAsia="仿宋_GB2312" w:cs="Times New Roman"/>
          <w:color w:val="auto"/>
          <w:sz w:val="28"/>
          <w:szCs w:val="28"/>
          <w:lang w:val="en-US" w:eastAsia="zh-CN"/>
        </w:rPr>
        <w:t>知行楼202</w:t>
      </w:r>
      <w:r>
        <w:rPr>
          <w:rFonts w:hint="eastAsia" w:ascii="仿宋_GB2312" w:hAnsi="Times New Roman" w:eastAsia="仿宋_GB2312" w:cs="Times New Roman"/>
          <w:color w:val="auto"/>
          <w:sz w:val="28"/>
          <w:szCs w:val="28"/>
          <w:lang w:val="en-US" w:eastAsia="zh-CN"/>
        </w:rPr>
        <w:t>）进行现场报名。</w:t>
      </w:r>
    </w:p>
    <w:p w14:paraId="71B8B13D">
      <w:pPr>
        <w:widowControl/>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eastAsia="仿宋_GB2312"/>
          <w:color w:val="auto"/>
          <w:sz w:val="28"/>
          <w:szCs w:val="28"/>
          <w:highlight w:val="none"/>
          <w:lang w:val="en-US" w:eastAsia="zh-CN"/>
        </w:rPr>
        <w:t>收费标准：修读微专业不收取任何费用。</w:t>
      </w:r>
    </w:p>
    <w:p w14:paraId="12CAADC2">
      <w:pPr>
        <w:widowControl/>
        <w:ind w:firstLine="560" w:firstLineChars="200"/>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选拔方式：面试</w:t>
      </w:r>
    </w:p>
    <w:p w14:paraId="606AB3C4">
      <w:pPr>
        <w:widowControl/>
        <w:numPr>
          <w:ilvl w:val="0"/>
          <w:numId w:val="0"/>
        </w:numPr>
        <w:spacing w:line="360" w:lineRule="auto"/>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九、联系人及联系方式</w:t>
      </w:r>
    </w:p>
    <w:p w14:paraId="591B368C">
      <w:pPr>
        <w:widowControl/>
        <w:numPr>
          <w:ilvl w:val="0"/>
          <w:numId w:val="0"/>
        </w:numPr>
        <w:spacing w:line="360" w:lineRule="auto"/>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联 系 人：王婧</w:t>
      </w:r>
    </w:p>
    <w:p w14:paraId="0067E942">
      <w:pPr>
        <w:widowControl/>
        <w:numPr>
          <w:ilvl w:val="0"/>
          <w:numId w:val="0"/>
        </w:numPr>
        <w:spacing w:line="360" w:lineRule="auto"/>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联系电话：024-86574377</w:t>
      </w:r>
    </w:p>
    <w:p w14:paraId="21CD985C">
      <w:pPr>
        <w:widowControl/>
        <w:numPr>
          <w:ilvl w:val="0"/>
          <w:numId w:val="0"/>
        </w:numPr>
        <w:spacing w:line="360" w:lineRule="auto"/>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咨询地点：知行楼202</w:t>
      </w:r>
    </w:p>
    <w:p w14:paraId="772526C7">
      <w:pPr>
        <w:widowControl/>
        <w:numPr>
          <w:ilvl w:val="0"/>
          <w:numId w:val="0"/>
        </w:numPr>
        <w:spacing w:line="360" w:lineRule="auto"/>
        <w:ind w:firstLine="560" w:firstLineChars="200"/>
        <w:rPr>
          <w:rFonts w:hint="eastAsia" w:ascii="仿宋_GB2312" w:eastAsia="仿宋_GB2312"/>
          <w:color w:val="auto"/>
          <w:sz w:val="28"/>
          <w:szCs w:val="28"/>
          <w:lang w:val="en-US" w:eastAsia="zh-CN"/>
        </w:rPr>
      </w:pPr>
    </w:p>
    <w:p w14:paraId="50F35300">
      <w:pPr>
        <w:widowControl/>
        <w:numPr>
          <w:ilvl w:val="0"/>
          <w:numId w:val="0"/>
        </w:numPr>
        <w:spacing w:line="360" w:lineRule="auto"/>
        <w:ind w:firstLine="40" w:firstLineChars="200"/>
        <w:rPr>
          <w:rFonts w:hint="eastAsia" w:ascii="仿宋_GB2312" w:eastAsia="仿宋_GB2312"/>
          <w:color w:val="auto"/>
          <w:sz w:val="28"/>
          <w:szCs w:val="28"/>
          <w:lang w:val="en-US" w:eastAsia="zh-CN"/>
        </w:rPr>
      </w:pPr>
      <w:r>
        <w:rPr>
          <w:rFonts w:ascii="Arial" w:hAnsi="Arial" w:eastAsia="Arial" w:cs="Arial"/>
          <w:sz w:val="2"/>
          <w:szCs w:val="2"/>
        </w:rPr>
        <w:drawing>
          <wp:anchor distT="0" distB="0" distL="114300" distR="114300" simplePos="0" relativeHeight="251659264" behindDoc="1" locked="0" layoutInCell="1" allowOverlap="1">
            <wp:simplePos x="0" y="0"/>
            <wp:positionH relativeFrom="column">
              <wp:posOffset>2126615</wp:posOffset>
            </wp:positionH>
            <wp:positionV relativeFrom="paragraph">
              <wp:posOffset>377825</wp:posOffset>
            </wp:positionV>
            <wp:extent cx="1315720" cy="476885"/>
            <wp:effectExtent l="0" t="0" r="0" b="18415"/>
            <wp:wrapTight wrapText="bothSides">
              <wp:wrapPolygon>
                <wp:start x="14699" y="0"/>
                <wp:lineTo x="3753" y="1726"/>
                <wp:lineTo x="1251" y="6040"/>
                <wp:lineTo x="2502" y="13806"/>
                <wp:lineTo x="2189" y="16394"/>
                <wp:lineTo x="4378" y="19846"/>
                <wp:lineTo x="5942" y="20708"/>
                <wp:lineTo x="7506" y="20708"/>
                <wp:lineTo x="7819" y="19846"/>
                <wp:lineTo x="15950" y="13806"/>
                <wp:lineTo x="19703" y="12943"/>
                <wp:lineTo x="19703" y="10354"/>
                <wp:lineTo x="16263" y="0"/>
                <wp:lineTo x="14699" y="0"/>
              </wp:wrapPolygon>
            </wp:wrapTight>
            <wp:docPr id="2" name="图片 2" descr="3124718e3f395e389e8f26ec1af78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24718e3f395e389e8f26ec1af78f49"/>
                    <pic:cNvPicPr>
                      <a:picLocks noChangeAspect="1"/>
                    </pic:cNvPicPr>
                  </pic:nvPicPr>
                  <pic:blipFill>
                    <a:blip r:embed="rId4"/>
                    <a:stretch>
                      <a:fillRect/>
                    </a:stretch>
                  </pic:blipFill>
                  <pic:spPr>
                    <a:xfrm>
                      <a:off x="0" y="0"/>
                      <a:ext cx="1315720" cy="476885"/>
                    </a:xfrm>
                    <a:prstGeom prst="rect">
                      <a:avLst/>
                    </a:prstGeom>
                  </pic:spPr>
                </pic:pic>
              </a:graphicData>
            </a:graphic>
          </wp:anchor>
        </w:drawing>
      </w:r>
    </w:p>
    <w:p w14:paraId="36A41D39">
      <w:pPr>
        <w:spacing w:before="60" w:after="60"/>
        <w:jc w:val="both"/>
        <w:rPr>
          <w:rFonts w:hint="eastAsia" w:ascii="仿宋_GB2312" w:eastAsia="仿宋_GB2312"/>
          <w:color w:val="auto"/>
          <w:sz w:val="28"/>
          <w:szCs w:val="28"/>
          <w:lang w:val="en-US" w:eastAsia="zh-CN"/>
        </w:rPr>
      </w:pPr>
      <w:bookmarkStart w:id="0" w:name="_GoBack"/>
      <w:bookmarkEnd w:id="0"/>
    </w:p>
    <w:p w14:paraId="0F204B52"/>
    <w:sectPr>
      <w:pgSz w:w="11906" w:h="16838"/>
      <w:pgMar w:top="1134" w:right="1418" w:bottom="1134" w:left="1418"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D7D07"/>
    <w:rsid w:val="0B286BC5"/>
    <w:rsid w:val="15C03212"/>
    <w:rsid w:val="186500A0"/>
    <w:rsid w:val="187E050C"/>
    <w:rsid w:val="25A02115"/>
    <w:rsid w:val="276F6846"/>
    <w:rsid w:val="33010C9A"/>
    <w:rsid w:val="3DD63B85"/>
    <w:rsid w:val="46935C55"/>
    <w:rsid w:val="48054931"/>
    <w:rsid w:val="48462CE4"/>
    <w:rsid w:val="4AEF3676"/>
    <w:rsid w:val="4C196C02"/>
    <w:rsid w:val="4D6A5003"/>
    <w:rsid w:val="52BF7DD2"/>
    <w:rsid w:val="59831B59"/>
    <w:rsid w:val="60177B6F"/>
    <w:rsid w:val="60F12817"/>
    <w:rsid w:val="72581D3D"/>
    <w:rsid w:val="73282760"/>
    <w:rsid w:val="78283BA0"/>
    <w:rsid w:val="7A9C2E44"/>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954</Words>
  <Characters>980</Characters>
  <Lines>0</Lines>
  <Paragraphs>0</Paragraphs>
  <TotalTime>5</TotalTime>
  <ScaleCrop>false</ScaleCrop>
  <LinksUpToDate>false</LinksUpToDate>
  <CharactersWithSpaces>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2025-03-07T03:17:00Z</dcterms:created>
  <dc:creator>86182</dc:creator>
  <cp:lastModifiedBy>不渡</cp:lastModifiedBy>
  <dcterms:modified xsi:type="dcterms:W3CDTF">2026-03-03T07:04:00Z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eyJoZGlkIjoiN2FhMTNhMjM5ZDM5ZWJlMGE3NjJhMTFiOTFkZjI3OTciLCJ1c2VySWQiOiIyNzM4NTg2NjEifQ==</vt:lpwstr>
  </property>
  <property fmtid="{D5CDD505-2E9C-101B-9397-08002B2CF9AE}" pid="4" name="ICV">
    <vt:lpwstr>D698F94012634E2E93F49488C361013D_13</vt:lpwstr>
  </property>
</Properties>
</file>