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FB80E">
      <w:pPr>
        <w:spacing w:before="156" w:beforeLines="50" w:after="156" w:afterLines="50" w:line="480" w:lineRule="exact"/>
        <w:ind w:left="558" w:hanging="560" w:hangingChars="155"/>
        <w:jc w:val="center"/>
        <w:rPr>
          <w:rFonts w:hint="eastAsia" w:ascii="仿宋" w:hAnsi="仿宋" w:eastAsia="仿宋" w:cs="仿宋"/>
          <w:b/>
          <w:bCs w:val="0"/>
          <w:sz w:val="36"/>
          <w:szCs w:val="36"/>
        </w:rPr>
      </w:pPr>
      <w:r>
        <w:rPr>
          <w:rFonts w:hint="eastAsia" w:ascii="仿宋" w:hAnsi="仿宋" w:eastAsia="仿宋" w:cs="仿宋"/>
          <w:b/>
          <w:bCs w:val="0"/>
          <w:sz w:val="36"/>
          <w:szCs w:val="36"/>
          <w:lang w:val="en-US" w:eastAsia="zh-CN"/>
        </w:rPr>
        <w:t>教师教育</w:t>
      </w:r>
      <w:r>
        <w:rPr>
          <w:rFonts w:hint="eastAsia" w:ascii="仿宋" w:hAnsi="仿宋" w:eastAsia="仿宋" w:cs="仿宋"/>
          <w:b/>
          <w:bCs w:val="0"/>
          <w:sz w:val="36"/>
          <w:szCs w:val="36"/>
        </w:rPr>
        <w:t>学院</w:t>
      </w:r>
      <w:r>
        <w:rPr>
          <w:rFonts w:hint="eastAsia" w:ascii="仿宋" w:hAnsi="仿宋" w:eastAsia="仿宋" w:cs="仿宋"/>
          <w:b/>
          <w:bCs w:val="0"/>
          <w:sz w:val="36"/>
          <w:szCs w:val="36"/>
          <w:lang w:eastAsia="zh-CN"/>
        </w:rPr>
        <w:t>“</w:t>
      </w:r>
      <w:r>
        <w:rPr>
          <w:rFonts w:hint="eastAsia" w:ascii="仿宋" w:hAnsi="仿宋" w:eastAsia="仿宋" w:cs="仿宋"/>
          <w:b/>
          <w:bCs w:val="0"/>
          <w:sz w:val="36"/>
          <w:szCs w:val="36"/>
          <w:lang w:val="en-US" w:eastAsia="zh-CN"/>
        </w:rPr>
        <w:t>教师</w:t>
      </w:r>
      <w:bookmarkStart w:id="0" w:name="_GoBack"/>
      <w:bookmarkEnd w:id="0"/>
      <w:r>
        <w:rPr>
          <w:rFonts w:hint="eastAsia" w:ascii="仿宋" w:hAnsi="仿宋" w:eastAsia="仿宋" w:cs="仿宋"/>
          <w:b/>
          <w:bCs w:val="0"/>
          <w:sz w:val="36"/>
          <w:szCs w:val="36"/>
          <w:lang w:val="en-US" w:eastAsia="zh-CN"/>
        </w:rPr>
        <w:t>职业素养</w:t>
      </w:r>
      <w:r>
        <w:rPr>
          <w:rFonts w:hint="eastAsia" w:ascii="仿宋" w:hAnsi="仿宋" w:eastAsia="仿宋" w:cs="仿宋"/>
          <w:b/>
          <w:bCs w:val="0"/>
          <w:sz w:val="36"/>
          <w:szCs w:val="36"/>
          <w:lang w:eastAsia="zh-CN"/>
        </w:rPr>
        <w:t>”</w:t>
      </w:r>
      <w:r>
        <w:rPr>
          <w:rFonts w:hint="eastAsia" w:ascii="仿宋" w:hAnsi="仿宋" w:eastAsia="仿宋" w:cs="仿宋"/>
          <w:b/>
          <w:bCs w:val="0"/>
          <w:sz w:val="36"/>
          <w:szCs w:val="36"/>
        </w:rPr>
        <w:t>微专业</w:t>
      </w:r>
    </w:p>
    <w:p w14:paraId="1FBEA458">
      <w:pPr>
        <w:spacing w:before="156" w:beforeLines="50" w:after="156" w:afterLines="50" w:line="480" w:lineRule="exact"/>
        <w:ind w:left="558" w:hanging="31" w:hangingChars="155"/>
        <w:jc w:val="center"/>
        <w:rPr>
          <w:rFonts w:hint="eastAsia" w:ascii="仿宋" w:hAnsi="仿宋" w:eastAsia="仿宋" w:cs="仿宋"/>
          <w:b/>
          <w:bCs w:val="0"/>
          <w:sz w:val="36"/>
          <w:szCs w:val="36"/>
        </w:rPr>
      </w:pPr>
      <w:r>
        <w:rPr>
          <w:rFonts w:ascii="Arial" w:hAnsi="Arial" w:eastAsia="Arial" w:cs="Arial"/>
          <w:sz w:val="2"/>
          <w:szCs w:val="2"/>
        </w:rPr>
        <w:drawing>
          <wp:anchor distT="0" distB="0" distL="114300" distR="114300" simplePos="0" relativeHeight="251659264" behindDoc="1" locked="0" layoutInCell="1" allowOverlap="1">
            <wp:simplePos x="0" y="0"/>
            <wp:positionH relativeFrom="column">
              <wp:posOffset>-825500</wp:posOffset>
            </wp:positionH>
            <wp:positionV relativeFrom="paragraph">
              <wp:posOffset>71120</wp:posOffset>
            </wp:positionV>
            <wp:extent cx="1315720" cy="476885"/>
            <wp:effectExtent l="0" t="0" r="0" b="18415"/>
            <wp:wrapTight wrapText="bothSides">
              <wp:wrapPolygon>
                <wp:start x="14699" y="0"/>
                <wp:lineTo x="3753" y="1726"/>
                <wp:lineTo x="1251" y="6040"/>
                <wp:lineTo x="2502" y="13806"/>
                <wp:lineTo x="2189" y="16394"/>
                <wp:lineTo x="4378" y="19846"/>
                <wp:lineTo x="5942" y="20708"/>
                <wp:lineTo x="7506" y="20708"/>
                <wp:lineTo x="7819" y="19846"/>
                <wp:lineTo x="15950" y="13806"/>
                <wp:lineTo x="19703" y="12943"/>
                <wp:lineTo x="19703" y="10354"/>
                <wp:lineTo x="16263" y="0"/>
                <wp:lineTo x="14699" y="0"/>
              </wp:wrapPolygon>
            </wp:wrapTight>
            <wp:docPr id="2" name="图片 2" descr="3124718e3f395e389e8f26ec1af78f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124718e3f395e389e8f26ec1af78f49"/>
                    <pic:cNvPicPr>
                      <a:picLocks noChangeAspect="1"/>
                    </pic:cNvPicPr>
                  </pic:nvPicPr>
                  <pic:blipFill>
                    <a:blip r:embed="rId4"/>
                    <a:stretch>
                      <a:fillRect/>
                    </a:stretch>
                  </pic:blipFill>
                  <pic:spPr>
                    <a:xfrm>
                      <a:off x="0" y="0"/>
                      <a:ext cx="1315720" cy="476885"/>
                    </a:xfrm>
                    <a:prstGeom prst="rect">
                      <a:avLst/>
                    </a:prstGeom>
                  </pic:spPr>
                </pic:pic>
              </a:graphicData>
            </a:graphic>
          </wp:anchor>
        </w:drawing>
      </w:r>
      <w:r>
        <w:rPr>
          <w:rFonts w:hint="eastAsia" w:ascii="仿宋" w:hAnsi="仿宋" w:eastAsia="仿宋" w:cs="仿宋"/>
          <w:b/>
          <w:bCs w:val="0"/>
          <w:sz w:val="36"/>
          <w:szCs w:val="36"/>
        </w:rPr>
        <w:t>人才培养方案</w:t>
      </w:r>
    </w:p>
    <w:p w14:paraId="00C4B464">
      <w:pPr>
        <w:widowControl/>
        <w:spacing w:after="156" w:line="0" w:lineRule="atLeast"/>
        <w:ind w:firstLine="560" w:firstLineChars="200"/>
        <w:jc w:val="left"/>
        <w:rPr>
          <w:rFonts w:hint="eastAsia" w:ascii="黑体" w:hAnsi="黑体" w:eastAsia="黑体" w:cs="黑体"/>
          <w:bCs/>
          <w:sz w:val="28"/>
          <w:szCs w:val="28"/>
        </w:rPr>
      </w:pPr>
    </w:p>
    <w:p w14:paraId="0F0F5949">
      <w:pPr>
        <w:widowControl/>
        <w:spacing w:after="156" w:line="0" w:lineRule="atLeast"/>
        <w:ind w:firstLine="560" w:firstLineChars="200"/>
        <w:jc w:val="left"/>
        <w:rPr>
          <w:rFonts w:ascii="黑体" w:hAnsi="黑体" w:eastAsia="黑体" w:cs="黑体"/>
          <w:bCs/>
          <w:sz w:val="28"/>
          <w:szCs w:val="28"/>
        </w:rPr>
      </w:pPr>
      <w:r>
        <w:rPr>
          <w:rFonts w:hint="eastAsia" w:ascii="黑体" w:hAnsi="黑体" w:eastAsia="黑体" w:cs="黑体"/>
          <w:bCs/>
          <w:sz w:val="28"/>
          <w:szCs w:val="28"/>
        </w:rPr>
        <w:t>一、培养目标</w:t>
      </w:r>
    </w:p>
    <w:p w14:paraId="3C36EFEA">
      <w:pPr>
        <w:keepNext w:val="0"/>
        <w:keepLines w:val="0"/>
        <w:pageBreakBefore w:val="0"/>
        <w:widowControl/>
        <w:suppressLineNumbers w:val="0"/>
        <w:kinsoku/>
        <w:wordWrap/>
        <w:overflowPunct/>
        <w:topLinePunct w:val="0"/>
        <w:autoSpaceDE/>
        <w:autoSpaceDN/>
        <w:bidi w:val="0"/>
        <w:adjustRightInd/>
        <w:snapToGrid/>
        <w:spacing w:line="288" w:lineRule="auto"/>
        <w:ind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本专业面向国家2035年建成教育强国目标的教师教育人才需求，培养具有先进的教育理念、高尚的教师职业道德和育人情怀，拥有扎实的教师教育理论基础，具备较强的教育教学及管理能力，突出的教学实践能力和反思能力，能够在中小学等相关教育领域从事教育教学及管理工作的高素质复合型教师教育人才。</w:t>
      </w:r>
    </w:p>
    <w:p w14:paraId="1F96CDCA">
      <w:pPr>
        <w:keepNext w:val="0"/>
        <w:keepLines w:val="0"/>
        <w:pageBreakBefore w:val="0"/>
        <w:widowControl/>
        <w:suppressLineNumbers w:val="0"/>
        <w:kinsoku/>
        <w:wordWrap/>
        <w:overflowPunct/>
        <w:topLinePunct w:val="0"/>
        <w:autoSpaceDE/>
        <w:autoSpaceDN/>
        <w:bidi w:val="0"/>
        <w:adjustRightInd/>
        <w:snapToGrid/>
        <w:spacing w:line="288" w:lineRule="auto"/>
        <w:ind w:firstLine="562" w:firstLineChars="200"/>
        <w:jc w:val="left"/>
        <w:textAlignment w:val="auto"/>
        <w:rPr>
          <w:rFonts w:hint="eastAsia" w:ascii="仿宋" w:hAnsi="仿宋" w:eastAsia="微软雅黑" w:cs="仿宋"/>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本专业毕业生培养目标预期：</w:t>
      </w:r>
    </w:p>
    <w:p w14:paraId="760C08FC">
      <w:pPr>
        <w:keepNext w:val="0"/>
        <w:keepLines w:val="0"/>
        <w:pageBreakBefore w:val="0"/>
        <w:widowControl/>
        <w:suppressLineNumbers w:val="0"/>
        <w:kinsoku/>
        <w:wordWrap/>
        <w:overflowPunct/>
        <w:topLinePunct w:val="0"/>
        <w:autoSpaceDE/>
        <w:autoSpaceDN/>
        <w:bidi w:val="0"/>
        <w:adjustRightInd/>
        <w:snapToGrid/>
        <w:spacing w:line="288" w:lineRule="auto"/>
        <w:ind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1.拥有高尚的师德师风，树立敬业爱生、教书育人、为人师表的职业操守，具有积极正向的教育情怀与价值观。</w:t>
      </w:r>
    </w:p>
    <w:p w14:paraId="0DDBBDA6">
      <w:pPr>
        <w:keepNext w:val="0"/>
        <w:keepLines w:val="0"/>
        <w:pageBreakBefore w:val="0"/>
        <w:widowControl/>
        <w:suppressLineNumbers w:val="0"/>
        <w:kinsoku/>
        <w:wordWrap/>
        <w:overflowPunct/>
        <w:topLinePunct w:val="0"/>
        <w:autoSpaceDE/>
        <w:autoSpaceDN/>
        <w:bidi w:val="0"/>
        <w:adjustRightInd/>
        <w:snapToGrid/>
        <w:spacing w:line="288" w:lineRule="auto"/>
        <w:ind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2.掌握教育学科基本理论与专业知识，包括教育学与心理学的综合理论基础，深入理解教育教学规律，为教育实践筑牢理论根基。</w:t>
      </w:r>
    </w:p>
    <w:p w14:paraId="0648033A">
      <w:pPr>
        <w:keepNext w:val="0"/>
        <w:keepLines w:val="0"/>
        <w:pageBreakBefore w:val="0"/>
        <w:widowControl/>
        <w:suppressLineNumbers w:val="0"/>
        <w:kinsoku/>
        <w:wordWrap/>
        <w:overflowPunct/>
        <w:topLinePunct w:val="0"/>
        <w:autoSpaceDE/>
        <w:autoSpaceDN/>
        <w:bidi w:val="0"/>
        <w:adjustRightInd/>
        <w:snapToGrid/>
        <w:spacing w:line="288" w:lineRule="auto"/>
        <w:ind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3.具有较强的教学实践能力，说课、教学设计、课堂教学与管理、教学评价等方面，能灵活运用多样化教学方法与现代教育技术开展教学活动。</w:t>
      </w:r>
    </w:p>
    <w:p w14:paraId="0CADDA7B">
      <w:pPr>
        <w:widowControl/>
        <w:spacing w:after="156" w:line="0" w:lineRule="atLeast"/>
        <w:ind w:firstLine="560" w:firstLineChars="200"/>
        <w:jc w:val="left"/>
        <w:rPr>
          <w:rFonts w:hint="eastAsia" w:ascii="仿宋" w:hAnsi="仿宋" w:eastAsia="仿宋" w:cs="仿宋"/>
          <w:b/>
          <w:bCs/>
          <w:color w:val="auto"/>
          <w:kern w:val="0"/>
          <w:sz w:val="28"/>
          <w:szCs w:val="28"/>
          <w:lang w:val="en-US" w:eastAsia="zh-CN" w:bidi="ar"/>
        </w:rPr>
      </w:pPr>
      <w:r>
        <w:rPr>
          <w:rFonts w:hint="eastAsia" w:ascii="黑体" w:hAnsi="黑体" w:eastAsia="黑体" w:cs="黑体"/>
          <w:bCs/>
          <w:sz w:val="28"/>
          <w:szCs w:val="28"/>
        </w:rPr>
        <w:t>二、毕业要求</w:t>
      </w:r>
    </w:p>
    <w:p w14:paraId="4DF98EA3">
      <w:pPr>
        <w:keepNext w:val="0"/>
        <w:keepLines w:val="0"/>
        <w:pageBreakBefore w:val="0"/>
        <w:widowControl/>
        <w:suppressLineNumbers w:val="0"/>
        <w:kinsoku/>
        <w:wordWrap/>
        <w:overflowPunct/>
        <w:topLinePunct w:val="0"/>
        <w:autoSpaceDE/>
        <w:autoSpaceDN/>
        <w:bidi w:val="0"/>
        <w:adjustRightInd/>
        <w:snapToGrid/>
        <w:spacing w:line="288" w:lineRule="auto"/>
        <w:ind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本专业秉持“践行师德、学会教学、学会育人、学会发展”的师范生人才培养模式要求，系统化学习教育学科基本理论和教育教学专业知识，进行课堂教学专业技能与方法的训练，提升教育教学相关工作的能力。毕业生应具备以下几方面的素养和能力：</w:t>
      </w:r>
    </w:p>
    <w:p w14:paraId="61FCF13A">
      <w:pPr>
        <w:keepNext w:val="0"/>
        <w:keepLines w:val="0"/>
        <w:pageBreakBefore w:val="0"/>
        <w:widowControl/>
        <w:suppressLineNumbers w:val="0"/>
        <w:kinsoku/>
        <w:wordWrap/>
        <w:overflowPunct/>
        <w:topLinePunct w:val="0"/>
        <w:autoSpaceDE/>
        <w:autoSpaceDN/>
        <w:bidi w:val="0"/>
        <w:adjustRightInd/>
        <w:snapToGrid/>
        <w:spacing w:line="288" w:lineRule="auto"/>
        <w:ind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1.师德素养高尚，以立德树人为己任，遵守中小学教师职业道德规范，以教育家精神为引领，立志成为有理想信念、有道德情操、有扎实学时、有仁爱之心的好老师。</w:t>
      </w:r>
    </w:p>
    <w:p w14:paraId="473C194E">
      <w:pPr>
        <w:keepNext w:val="0"/>
        <w:keepLines w:val="0"/>
        <w:pageBreakBefore w:val="0"/>
        <w:widowControl/>
        <w:suppressLineNumbers w:val="0"/>
        <w:kinsoku/>
        <w:wordWrap/>
        <w:overflowPunct/>
        <w:topLinePunct w:val="0"/>
        <w:autoSpaceDE/>
        <w:autoSpaceDN/>
        <w:bidi w:val="0"/>
        <w:adjustRightInd/>
        <w:snapToGrid/>
        <w:spacing w:line="288" w:lineRule="auto"/>
        <w:ind w:firstLine="560" w:firstLineChars="200"/>
        <w:jc w:val="left"/>
        <w:textAlignment w:val="auto"/>
        <w:rPr>
          <w:rFonts w:hint="default"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2.具有教育教学能力。掌握教育学科教学基本知识、基本原理、基本技能，能够依据所教学科课程标准，针对中小学生身心发展和学科认知特点，进行教学设计、实施和评价。</w:t>
      </w:r>
    </w:p>
    <w:p w14:paraId="51392259">
      <w:pPr>
        <w:keepNext w:val="0"/>
        <w:keepLines w:val="0"/>
        <w:pageBreakBefore w:val="0"/>
        <w:widowControl/>
        <w:suppressLineNumbers w:val="0"/>
        <w:kinsoku/>
        <w:wordWrap/>
        <w:overflowPunct/>
        <w:topLinePunct w:val="0"/>
        <w:autoSpaceDE/>
        <w:autoSpaceDN/>
        <w:bidi w:val="0"/>
        <w:adjustRightInd/>
        <w:snapToGrid/>
        <w:spacing w:line="288" w:lineRule="auto"/>
        <w:ind w:firstLine="560" w:firstLineChars="200"/>
        <w:jc w:val="left"/>
        <w:textAlignment w:val="auto"/>
        <w:rPr>
          <w:rFonts w:hint="default"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3.能够进行班级指导和综合育人。掌握班级组织与建设的工作规律和方法，了解中小学生身心发展和养成规律，理解学科育人的价值，能够结合学科教学开展育人活动。</w:t>
      </w:r>
    </w:p>
    <w:p w14:paraId="32BB7DCF">
      <w:pPr>
        <w:keepNext w:val="0"/>
        <w:keepLines w:val="0"/>
        <w:pageBreakBefore w:val="0"/>
        <w:widowControl/>
        <w:suppressLineNumbers w:val="0"/>
        <w:kinsoku/>
        <w:wordWrap/>
        <w:overflowPunct/>
        <w:topLinePunct w:val="0"/>
        <w:autoSpaceDE/>
        <w:autoSpaceDN/>
        <w:bidi w:val="0"/>
        <w:adjustRightInd/>
        <w:snapToGrid/>
        <w:spacing w:line="288" w:lineRule="auto"/>
        <w:ind w:firstLine="560" w:firstLineChars="200"/>
        <w:jc w:val="left"/>
        <w:textAlignment w:val="auto"/>
        <w:rPr>
          <w:rFonts w:hint="default"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4.具有反思和沟通合作的能力进行主动学习和职业生涯规划，掌握反思方法和技能，学会分析和解决教育教学问题，具有团队协作精神，掌握沟通合作技能。</w:t>
      </w:r>
    </w:p>
    <w:p w14:paraId="1B939917">
      <w:pPr>
        <w:spacing w:before="156" w:beforeLines="50" w:after="156" w:afterLines="50" w:line="480" w:lineRule="exact"/>
        <w:ind w:firstLine="560" w:firstLineChars="200"/>
        <w:rPr>
          <w:rFonts w:ascii="宋体" w:hAnsi="宋体"/>
          <w:b/>
          <w:sz w:val="28"/>
          <w:szCs w:val="28"/>
        </w:rPr>
      </w:pPr>
      <w:r>
        <w:rPr>
          <w:rFonts w:hint="eastAsia" w:ascii="黑体" w:hAnsi="黑体" w:eastAsia="黑体" w:cs="黑体"/>
          <w:bCs/>
          <w:sz w:val="28"/>
          <w:szCs w:val="28"/>
        </w:rPr>
        <w:t>三、招生对象与条件</w:t>
      </w:r>
    </w:p>
    <w:p w14:paraId="533BEAD5">
      <w:pPr>
        <w:keepNext w:val="0"/>
        <w:keepLines w:val="0"/>
        <w:pageBreakBefore w:val="0"/>
        <w:widowControl/>
        <w:suppressLineNumbers w:val="0"/>
        <w:kinsoku/>
        <w:wordWrap/>
        <w:overflowPunct/>
        <w:topLinePunct w:val="0"/>
        <w:autoSpaceDE/>
        <w:autoSpaceDN/>
        <w:bidi w:val="0"/>
        <w:adjustRightInd/>
        <w:snapToGrid/>
        <w:spacing w:line="288" w:lineRule="auto"/>
        <w:ind w:firstLine="560" w:firstLineChars="200"/>
        <w:jc w:val="left"/>
        <w:textAlignment w:val="auto"/>
        <w:rPr>
          <w:rFonts w:hint="default"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大二及以上全校各专业，热衷于从事中小学教师工作的学生。</w:t>
      </w:r>
    </w:p>
    <w:p w14:paraId="09EE98B0">
      <w:pPr>
        <w:spacing w:before="156" w:beforeLines="50" w:after="156" w:afterLines="50" w:line="480" w:lineRule="exact"/>
        <w:ind w:firstLine="560" w:firstLineChars="200"/>
        <w:rPr>
          <w:rFonts w:ascii="黑体" w:hAnsi="黑体" w:eastAsia="黑体" w:cs="黑体"/>
          <w:bCs/>
          <w:sz w:val="28"/>
          <w:szCs w:val="28"/>
        </w:rPr>
      </w:pPr>
      <w:r>
        <w:rPr>
          <w:rFonts w:hint="eastAsia" w:ascii="黑体" w:hAnsi="黑体" w:eastAsia="黑体" w:cs="黑体"/>
          <w:bCs/>
          <w:sz w:val="28"/>
          <w:szCs w:val="28"/>
        </w:rPr>
        <w:t>四、学分与证书</w:t>
      </w:r>
    </w:p>
    <w:p w14:paraId="519251A0">
      <w:pPr>
        <w:keepNext w:val="0"/>
        <w:keepLines w:val="0"/>
        <w:pageBreakBefore w:val="0"/>
        <w:widowControl/>
        <w:suppressLineNumbers w:val="0"/>
        <w:kinsoku/>
        <w:wordWrap/>
        <w:overflowPunct/>
        <w:topLinePunct w:val="0"/>
        <w:autoSpaceDE/>
        <w:autoSpaceDN/>
        <w:bidi w:val="0"/>
        <w:adjustRightInd/>
        <w:snapToGrid/>
        <w:spacing w:line="288" w:lineRule="auto"/>
        <w:ind w:firstLine="560" w:firstLineChars="20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总学分为10学分。学生在本科毕业或结业离校前，修读完成微专业培养方案规定的课程，且成绩全部合格，获得相应学分，学校颁发微专业证书。</w:t>
      </w:r>
    </w:p>
    <w:p w14:paraId="61F99C90">
      <w:pPr>
        <w:spacing w:before="156" w:beforeLines="50" w:after="156" w:afterLines="50" w:line="480" w:lineRule="exact"/>
        <w:ind w:firstLine="560" w:firstLineChars="200"/>
        <w:rPr>
          <w:rFonts w:hint="eastAsia" w:ascii="黑体" w:hAnsi="黑体" w:eastAsia="黑体" w:cs="黑体"/>
          <w:bCs/>
          <w:sz w:val="28"/>
          <w:szCs w:val="28"/>
        </w:rPr>
      </w:pPr>
    </w:p>
    <w:p w14:paraId="5B08A632">
      <w:pPr>
        <w:spacing w:before="156" w:beforeLines="50" w:after="156" w:afterLines="50" w:line="480" w:lineRule="exact"/>
        <w:ind w:firstLine="560" w:firstLineChars="200"/>
        <w:rPr>
          <w:rFonts w:hint="eastAsia" w:ascii="黑体" w:hAnsi="黑体" w:eastAsia="黑体" w:cs="黑体"/>
          <w:bCs/>
          <w:sz w:val="28"/>
          <w:szCs w:val="28"/>
        </w:rPr>
      </w:pPr>
    </w:p>
    <w:p w14:paraId="5F09C6D3">
      <w:pPr>
        <w:spacing w:before="156" w:beforeLines="50" w:after="156" w:afterLines="50" w:line="480" w:lineRule="exact"/>
        <w:ind w:firstLine="560" w:firstLineChars="200"/>
        <w:rPr>
          <w:rFonts w:hint="eastAsia" w:ascii="黑体" w:hAnsi="黑体" w:eastAsia="黑体" w:cs="黑体"/>
          <w:bCs/>
          <w:sz w:val="28"/>
          <w:szCs w:val="28"/>
        </w:rPr>
      </w:pPr>
    </w:p>
    <w:p w14:paraId="73DD1E29">
      <w:pPr>
        <w:spacing w:before="156" w:beforeLines="50" w:after="156" w:afterLines="50" w:line="480" w:lineRule="exact"/>
        <w:ind w:firstLine="560" w:firstLineChars="200"/>
        <w:rPr>
          <w:rFonts w:hint="eastAsia" w:ascii="黑体" w:hAnsi="黑体" w:eastAsia="黑体" w:cs="黑体"/>
          <w:bCs/>
          <w:sz w:val="28"/>
          <w:szCs w:val="28"/>
        </w:rPr>
      </w:pPr>
      <w:r>
        <w:rPr>
          <w:rFonts w:hint="eastAsia" w:ascii="黑体" w:hAnsi="黑体" w:eastAsia="黑体" w:cs="黑体"/>
          <w:bCs/>
          <w:sz w:val="28"/>
          <w:szCs w:val="28"/>
        </w:rPr>
        <w:t>五、指导性教学计划进度表</w:t>
      </w:r>
    </w:p>
    <w:p w14:paraId="6C2786CE">
      <w:pPr>
        <w:keepNext w:val="0"/>
        <w:keepLines w:val="0"/>
        <w:pageBreakBefore w:val="0"/>
        <w:widowControl/>
        <w:kinsoku/>
        <w:wordWrap/>
        <w:overflowPunct/>
        <w:topLinePunct w:val="0"/>
        <w:autoSpaceDE/>
        <w:autoSpaceDN/>
        <w:bidi w:val="0"/>
        <w:adjustRightInd/>
        <w:snapToGrid/>
        <w:spacing w:line="0" w:lineRule="atLeast"/>
        <w:jc w:val="center"/>
        <w:textAlignment w:val="auto"/>
        <w:rPr>
          <w:rFonts w:hint="eastAsia" w:ascii="黑体" w:hAnsi="黑体" w:eastAsia="黑体" w:cs="黑体"/>
          <w:bCs/>
          <w:sz w:val="28"/>
          <w:szCs w:val="28"/>
        </w:rPr>
      </w:pPr>
      <w:r>
        <w:rPr>
          <w:rFonts w:hint="eastAsia" w:ascii="黑体" w:hAnsi="黑体" w:eastAsia="黑体" w:cs="黑体"/>
          <w:bCs/>
          <w:sz w:val="28"/>
          <w:szCs w:val="28"/>
          <w:lang w:val="en-US" w:eastAsia="zh-CN"/>
        </w:rPr>
        <w:t>“教师职业素养”</w:t>
      </w:r>
      <w:r>
        <w:rPr>
          <w:rFonts w:hint="eastAsia" w:ascii="黑体" w:hAnsi="黑体" w:eastAsia="黑体" w:cs="黑体"/>
          <w:bCs/>
          <w:sz w:val="28"/>
          <w:szCs w:val="28"/>
        </w:rPr>
        <w:t>微专业指导性教学计划进度表</w:t>
      </w:r>
    </w:p>
    <w:tbl>
      <w:tblPr>
        <w:tblStyle w:val="2"/>
        <w:tblpPr w:leftFromText="180" w:rightFromText="180" w:vertAnchor="text" w:horzAnchor="page" w:tblpX="1325" w:tblpY="492"/>
        <w:tblOverlap w:val="never"/>
        <w:tblW w:w="50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6"/>
        <w:gridCol w:w="570"/>
        <w:gridCol w:w="992"/>
        <w:gridCol w:w="756"/>
        <w:gridCol w:w="761"/>
        <w:gridCol w:w="962"/>
        <w:gridCol w:w="1006"/>
        <w:gridCol w:w="1046"/>
      </w:tblGrid>
      <w:tr w14:paraId="1B93E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489" w:type="pct"/>
            <w:vMerge w:val="restart"/>
            <w:vAlign w:val="center"/>
          </w:tcPr>
          <w:p w14:paraId="792B18F0">
            <w:pPr>
              <w:widowControl/>
              <w:jc w:val="center"/>
              <w:rPr>
                <w:rFonts w:ascii="黑体" w:hAnsi="黑体" w:eastAsia="黑体"/>
                <w:bCs/>
                <w:sz w:val="21"/>
                <w:szCs w:val="21"/>
              </w:rPr>
            </w:pPr>
            <w:r>
              <w:rPr>
                <w:rFonts w:hint="eastAsia" w:ascii="黑体" w:hAnsi="黑体" w:eastAsia="黑体"/>
                <w:bCs/>
                <w:sz w:val="21"/>
                <w:szCs w:val="21"/>
              </w:rPr>
              <w:t>课程名称</w:t>
            </w:r>
          </w:p>
        </w:tc>
        <w:tc>
          <w:tcPr>
            <w:tcW w:w="328" w:type="pct"/>
            <w:vMerge w:val="restart"/>
            <w:vAlign w:val="center"/>
          </w:tcPr>
          <w:p w14:paraId="70A59CF7">
            <w:pPr>
              <w:widowControl/>
              <w:jc w:val="center"/>
              <w:rPr>
                <w:rFonts w:ascii="黑体" w:hAnsi="黑体" w:eastAsia="黑体"/>
                <w:bCs/>
                <w:spacing w:val="20"/>
                <w:sz w:val="21"/>
                <w:szCs w:val="21"/>
              </w:rPr>
            </w:pPr>
            <w:r>
              <w:rPr>
                <w:rFonts w:hint="eastAsia" w:ascii="黑体" w:hAnsi="黑体" w:eastAsia="黑体"/>
                <w:bCs/>
                <w:sz w:val="21"/>
                <w:szCs w:val="21"/>
              </w:rPr>
              <w:t>学分</w:t>
            </w:r>
          </w:p>
        </w:tc>
        <w:tc>
          <w:tcPr>
            <w:tcW w:w="571" w:type="pct"/>
            <w:vMerge w:val="restart"/>
            <w:vAlign w:val="center"/>
          </w:tcPr>
          <w:p w14:paraId="451B9F53">
            <w:pPr>
              <w:widowControl/>
              <w:jc w:val="center"/>
              <w:rPr>
                <w:rFonts w:ascii="黑体" w:hAnsi="黑体" w:eastAsia="黑体"/>
                <w:bCs/>
                <w:sz w:val="21"/>
                <w:szCs w:val="21"/>
              </w:rPr>
            </w:pPr>
            <w:r>
              <w:rPr>
                <w:rFonts w:ascii="黑体" w:hAnsi="黑体" w:eastAsia="黑体"/>
                <w:bCs/>
                <w:sz w:val="21"/>
                <w:szCs w:val="21"/>
              </w:rPr>
              <w:t>总学时</w:t>
            </w:r>
          </w:p>
        </w:tc>
        <w:tc>
          <w:tcPr>
            <w:tcW w:w="873" w:type="pct"/>
            <w:gridSpan w:val="2"/>
            <w:vAlign w:val="center"/>
          </w:tcPr>
          <w:p w14:paraId="4FACD601">
            <w:pPr>
              <w:widowControl/>
              <w:snapToGrid w:val="0"/>
              <w:jc w:val="center"/>
              <w:rPr>
                <w:rFonts w:hint="default" w:ascii="黑体" w:hAnsi="黑体" w:eastAsia="黑体"/>
                <w:bCs/>
                <w:sz w:val="21"/>
                <w:szCs w:val="21"/>
                <w:lang w:val="en-US" w:eastAsia="zh-CN"/>
              </w:rPr>
            </w:pPr>
            <w:r>
              <w:rPr>
                <w:rFonts w:hint="eastAsia" w:ascii="黑体" w:hAnsi="黑体" w:eastAsia="黑体"/>
                <w:bCs/>
                <w:sz w:val="21"/>
                <w:szCs w:val="21"/>
                <w:lang w:val="en-US" w:eastAsia="zh-CN"/>
              </w:rPr>
              <w:t>学时分配</w:t>
            </w:r>
          </w:p>
        </w:tc>
        <w:tc>
          <w:tcPr>
            <w:tcW w:w="554" w:type="pct"/>
            <w:vMerge w:val="restart"/>
            <w:vAlign w:val="center"/>
          </w:tcPr>
          <w:p w14:paraId="00A424A6">
            <w:pPr>
              <w:widowControl/>
              <w:snapToGrid w:val="0"/>
              <w:jc w:val="center"/>
              <w:rPr>
                <w:rFonts w:hint="eastAsia" w:ascii="黑体" w:hAnsi="黑体" w:eastAsia="黑体"/>
                <w:bCs/>
                <w:sz w:val="21"/>
                <w:szCs w:val="21"/>
              </w:rPr>
            </w:pPr>
            <w:r>
              <w:rPr>
                <w:rFonts w:hint="eastAsia" w:ascii="黑体" w:hAnsi="黑体" w:eastAsia="黑体"/>
                <w:bCs/>
                <w:sz w:val="21"/>
                <w:szCs w:val="21"/>
              </w:rPr>
              <w:t>课程性质</w:t>
            </w:r>
          </w:p>
        </w:tc>
        <w:tc>
          <w:tcPr>
            <w:tcW w:w="579" w:type="pct"/>
            <w:vMerge w:val="restart"/>
            <w:vAlign w:val="center"/>
          </w:tcPr>
          <w:p w14:paraId="6E31B558">
            <w:pPr>
              <w:widowControl/>
              <w:snapToGrid w:val="0"/>
              <w:jc w:val="center"/>
              <w:rPr>
                <w:rFonts w:ascii="黑体" w:hAnsi="黑体" w:eastAsia="黑体"/>
                <w:bCs/>
                <w:sz w:val="21"/>
                <w:szCs w:val="21"/>
              </w:rPr>
            </w:pPr>
            <w:r>
              <w:rPr>
                <w:rFonts w:hint="eastAsia" w:ascii="黑体" w:hAnsi="黑体" w:eastAsia="黑体"/>
                <w:bCs/>
                <w:sz w:val="21"/>
                <w:szCs w:val="21"/>
              </w:rPr>
              <w:t>考核方式</w:t>
            </w:r>
          </w:p>
        </w:tc>
        <w:tc>
          <w:tcPr>
            <w:tcW w:w="602" w:type="pct"/>
            <w:vMerge w:val="restart"/>
            <w:vAlign w:val="center"/>
          </w:tcPr>
          <w:p w14:paraId="6BCB8ABB">
            <w:pPr>
              <w:widowControl/>
              <w:snapToGrid w:val="0"/>
              <w:jc w:val="center"/>
              <w:rPr>
                <w:rFonts w:ascii="黑体" w:hAnsi="黑体" w:eastAsia="黑体"/>
                <w:bCs/>
                <w:sz w:val="21"/>
                <w:szCs w:val="21"/>
              </w:rPr>
            </w:pPr>
            <w:r>
              <w:rPr>
                <w:rFonts w:ascii="黑体" w:hAnsi="黑体" w:eastAsia="黑体"/>
                <w:bCs/>
                <w:sz w:val="21"/>
                <w:szCs w:val="21"/>
              </w:rPr>
              <w:t>开课</w:t>
            </w:r>
            <w:r>
              <w:rPr>
                <w:rFonts w:hint="eastAsia" w:ascii="黑体" w:hAnsi="黑体" w:eastAsia="黑体"/>
                <w:bCs/>
                <w:spacing w:val="20"/>
                <w:sz w:val="21"/>
                <w:szCs w:val="21"/>
              </w:rPr>
              <w:t>学期</w:t>
            </w:r>
          </w:p>
        </w:tc>
      </w:tr>
      <w:tr w14:paraId="64248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89" w:type="pct"/>
            <w:vMerge w:val="continue"/>
            <w:vAlign w:val="center"/>
          </w:tcPr>
          <w:p w14:paraId="4A59E453">
            <w:pPr>
              <w:widowControl/>
              <w:jc w:val="center"/>
              <w:rPr>
                <w:rFonts w:hint="eastAsia" w:ascii="黑体" w:hAnsi="黑体" w:eastAsia="黑体"/>
                <w:bCs/>
                <w:sz w:val="21"/>
                <w:szCs w:val="21"/>
              </w:rPr>
            </w:pPr>
          </w:p>
        </w:tc>
        <w:tc>
          <w:tcPr>
            <w:tcW w:w="328" w:type="pct"/>
            <w:vMerge w:val="continue"/>
            <w:tcBorders>
              <w:bottom w:val="single" w:color="auto" w:sz="4" w:space="0"/>
            </w:tcBorders>
            <w:vAlign w:val="center"/>
          </w:tcPr>
          <w:p w14:paraId="569D1A73">
            <w:pPr>
              <w:widowControl/>
              <w:jc w:val="center"/>
              <w:rPr>
                <w:rFonts w:hint="eastAsia" w:ascii="黑体" w:hAnsi="黑体" w:eastAsia="黑体"/>
                <w:bCs/>
                <w:sz w:val="21"/>
                <w:szCs w:val="21"/>
              </w:rPr>
            </w:pPr>
          </w:p>
        </w:tc>
        <w:tc>
          <w:tcPr>
            <w:tcW w:w="571" w:type="pct"/>
            <w:vMerge w:val="continue"/>
            <w:vAlign w:val="center"/>
          </w:tcPr>
          <w:p w14:paraId="3420B180">
            <w:pPr>
              <w:widowControl/>
              <w:jc w:val="center"/>
              <w:rPr>
                <w:rFonts w:ascii="黑体" w:hAnsi="黑体" w:eastAsia="黑体"/>
                <w:bCs/>
                <w:sz w:val="21"/>
                <w:szCs w:val="21"/>
              </w:rPr>
            </w:pPr>
          </w:p>
        </w:tc>
        <w:tc>
          <w:tcPr>
            <w:tcW w:w="435" w:type="pct"/>
            <w:vAlign w:val="center"/>
          </w:tcPr>
          <w:p w14:paraId="6A9A72F2">
            <w:pPr>
              <w:widowControl/>
              <w:snapToGrid w:val="0"/>
              <w:jc w:val="center"/>
              <w:rPr>
                <w:rFonts w:hint="eastAsia" w:ascii="黑体" w:hAnsi="黑体" w:eastAsia="黑体"/>
                <w:bCs/>
                <w:sz w:val="21"/>
                <w:szCs w:val="21"/>
                <w:lang w:val="en-US" w:eastAsia="zh-CN"/>
              </w:rPr>
            </w:pPr>
            <w:r>
              <w:rPr>
                <w:rFonts w:hint="eastAsia" w:ascii="黑体" w:hAnsi="黑体" w:eastAsia="黑体"/>
                <w:bCs/>
                <w:sz w:val="21"/>
                <w:szCs w:val="21"/>
                <w:lang w:val="en-US" w:eastAsia="zh-CN"/>
              </w:rPr>
              <w:t>理论</w:t>
            </w:r>
          </w:p>
        </w:tc>
        <w:tc>
          <w:tcPr>
            <w:tcW w:w="438" w:type="pct"/>
            <w:vAlign w:val="center"/>
          </w:tcPr>
          <w:p w14:paraId="4AAD1E93">
            <w:pPr>
              <w:widowControl/>
              <w:snapToGrid w:val="0"/>
              <w:jc w:val="center"/>
              <w:rPr>
                <w:rFonts w:hint="eastAsia" w:ascii="黑体" w:hAnsi="黑体" w:eastAsia="黑体"/>
                <w:bCs/>
                <w:sz w:val="21"/>
                <w:szCs w:val="21"/>
                <w:lang w:val="en-US" w:eastAsia="zh-CN"/>
              </w:rPr>
            </w:pPr>
            <w:r>
              <w:rPr>
                <w:rFonts w:hint="eastAsia" w:ascii="黑体" w:hAnsi="黑体" w:eastAsia="黑体"/>
                <w:bCs/>
                <w:sz w:val="21"/>
                <w:szCs w:val="21"/>
                <w:lang w:val="en-US" w:eastAsia="zh-CN"/>
              </w:rPr>
              <w:t>实践</w:t>
            </w:r>
          </w:p>
        </w:tc>
        <w:tc>
          <w:tcPr>
            <w:tcW w:w="554" w:type="pct"/>
            <w:vMerge w:val="continue"/>
            <w:vAlign w:val="center"/>
          </w:tcPr>
          <w:p w14:paraId="663BB1D5">
            <w:pPr>
              <w:widowControl/>
              <w:snapToGrid w:val="0"/>
              <w:jc w:val="center"/>
              <w:rPr>
                <w:rFonts w:hint="eastAsia" w:ascii="黑体" w:hAnsi="黑体" w:eastAsia="黑体"/>
                <w:bCs/>
                <w:sz w:val="21"/>
                <w:szCs w:val="21"/>
              </w:rPr>
            </w:pPr>
          </w:p>
        </w:tc>
        <w:tc>
          <w:tcPr>
            <w:tcW w:w="579" w:type="pct"/>
            <w:vMerge w:val="continue"/>
            <w:tcBorders>
              <w:bottom w:val="single" w:color="auto" w:sz="4" w:space="0"/>
            </w:tcBorders>
            <w:vAlign w:val="center"/>
          </w:tcPr>
          <w:p w14:paraId="6D0D2705">
            <w:pPr>
              <w:widowControl/>
              <w:snapToGrid w:val="0"/>
              <w:jc w:val="center"/>
              <w:rPr>
                <w:rFonts w:hint="eastAsia" w:ascii="黑体" w:hAnsi="黑体" w:eastAsia="黑体"/>
                <w:bCs/>
                <w:sz w:val="21"/>
                <w:szCs w:val="21"/>
              </w:rPr>
            </w:pPr>
          </w:p>
        </w:tc>
        <w:tc>
          <w:tcPr>
            <w:tcW w:w="602" w:type="pct"/>
            <w:vMerge w:val="continue"/>
            <w:tcBorders>
              <w:bottom w:val="single" w:color="auto" w:sz="4" w:space="0"/>
            </w:tcBorders>
            <w:vAlign w:val="center"/>
          </w:tcPr>
          <w:p w14:paraId="7A7763D9">
            <w:pPr>
              <w:widowControl/>
              <w:snapToGrid w:val="0"/>
              <w:jc w:val="center"/>
              <w:rPr>
                <w:rFonts w:ascii="黑体" w:hAnsi="黑体" w:eastAsia="黑体"/>
                <w:bCs/>
                <w:sz w:val="21"/>
                <w:szCs w:val="21"/>
              </w:rPr>
            </w:pPr>
          </w:p>
        </w:tc>
      </w:tr>
      <w:tr w14:paraId="07266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489" w:type="pct"/>
            <w:vAlign w:val="center"/>
          </w:tcPr>
          <w:p w14:paraId="39C819BA">
            <w:pPr>
              <w:widowControl/>
              <w:jc w:val="center"/>
              <w:rPr>
                <w:rFonts w:hint="default"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教育理论综合</w:t>
            </w:r>
          </w:p>
        </w:tc>
        <w:tc>
          <w:tcPr>
            <w:tcW w:w="328" w:type="pct"/>
            <w:vAlign w:val="center"/>
          </w:tcPr>
          <w:p w14:paraId="4282BB31">
            <w:pPr>
              <w:widowControl/>
              <w:jc w:val="center"/>
              <w:rPr>
                <w:rFonts w:hint="default"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2</w:t>
            </w:r>
          </w:p>
        </w:tc>
        <w:tc>
          <w:tcPr>
            <w:tcW w:w="571" w:type="pct"/>
            <w:vAlign w:val="center"/>
          </w:tcPr>
          <w:p w14:paraId="128917E4">
            <w:pPr>
              <w:widowControl/>
              <w:jc w:val="center"/>
              <w:rPr>
                <w:rFonts w:hint="default"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30</w:t>
            </w:r>
          </w:p>
        </w:tc>
        <w:tc>
          <w:tcPr>
            <w:tcW w:w="435" w:type="pct"/>
            <w:vAlign w:val="center"/>
          </w:tcPr>
          <w:p w14:paraId="634A9DBF">
            <w:pPr>
              <w:widowControl/>
              <w:jc w:val="center"/>
              <w:rPr>
                <w:rFonts w:hint="default"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18</w:t>
            </w:r>
          </w:p>
        </w:tc>
        <w:tc>
          <w:tcPr>
            <w:tcW w:w="438" w:type="pct"/>
            <w:vAlign w:val="center"/>
          </w:tcPr>
          <w:p w14:paraId="7F1967EA">
            <w:pPr>
              <w:widowControl/>
              <w:jc w:val="center"/>
              <w:rPr>
                <w:rFonts w:hint="default"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12</w:t>
            </w:r>
          </w:p>
        </w:tc>
        <w:tc>
          <w:tcPr>
            <w:tcW w:w="554" w:type="pct"/>
            <w:vAlign w:val="center"/>
          </w:tcPr>
          <w:p w14:paraId="4513A487">
            <w:pPr>
              <w:widowControl/>
              <w:jc w:val="center"/>
              <w:rPr>
                <w:rFonts w:hint="default"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必修</w:t>
            </w:r>
          </w:p>
        </w:tc>
        <w:tc>
          <w:tcPr>
            <w:tcW w:w="579" w:type="pct"/>
            <w:vAlign w:val="center"/>
          </w:tcPr>
          <w:p w14:paraId="15AEC1C7">
            <w:pPr>
              <w:widowControl/>
              <w:jc w:val="cente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考查</w:t>
            </w:r>
          </w:p>
        </w:tc>
        <w:tc>
          <w:tcPr>
            <w:tcW w:w="602" w:type="pct"/>
            <w:vAlign w:val="center"/>
          </w:tcPr>
          <w:p w14:paraId="3E3D175E">
            <w:pPr>
              <w:widowControl/>
              <w:jc w:val="center"/>
              <w:rPr>
                <w:rFonts w:hint="default"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春季学期</w:t>
            </w:r>
          </w:p>
        </w:tc>
      </w:tr>
      <w:tr w14:paraId="7D3E0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489" w:type="pct"/>
            <w:vAlign w:val="center"/>
          </w:tcPr>
          <w:p w14:paraId="7777469C">
            <w:pPr>
              <w:widowControl/>
              <w:jc w:val="center"/>
              <w:rPr>
                <w:rFonts w:hint="default"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教育心理学综合</w:t>
            </w:r>
          </w:p>
        </w:tc>
        <w:tc>
          <w:tcPr>
            <w:tcW w:w="328" w:type="pct"/>
            <w:vAlign w:val="center"/>
          </w:tcPr>
          <w:p w14:paraId="5B06E508">
            <w:pPr>
              <w:widowControl/>
              <w:jc w:val="center"/>
              <w:rPr>
                <w:rFonts w:hint="default"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2</w:t>
            </w:r>
          </w:p>
        </w:tc>
        <w:tc>
          <w:tcPr>
            <w:tcW w:w="571" w:type="pct"/>
            <w:vAlign w:val="center"/>
          </w:tcPr>
          <w:p w14:paraId="77483DB0">
            <w:pPr>
              <w:widowControl/>
              <w:jc w:val="center"/>
              <w:rPr>
                <w:rFonts w:hint="default"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30</w:t>
            </w:r>
          </w:p>
        </w:tc>
        <w:tc>
          <w:tcPr>
            <w:tcW w:w="435" w:type="pct"/>
            <w:vAlign w:val="center"/>
          </w:tcPr>
          <w:p w14:paraId="2EF4C9A4">
            <w:pPr>
              <w:widowControl/>
              <w:jc w:val="center"/>
              <w:rPr>
                <w:rFonts w:hint="default"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18</w:t>
            </w:r>
          </w:p>
        </w:tc>
        <w:tc>
          <w:tcPr>
            <w:tcW w:w="438" w:type="pct"/>
            <w:vAlign w:val="center"/>
          </w:tcPr>
          <w:p w14:paraId="70F04A6B">
            <w:pPr>
              <w:widowControl/>
              <w:jc w:val="center"/>
              <w:rPr>
                <w:rFonts w:hint="default"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12</w:t>
            </w:r>
          </w:p>
        </w:tc>
        <w:tc>
          <w:tcPr>
            <w:tcW w:w="554" w:type="pct"/>
            <w:shd w:val="clear" w:color="auto" w:fill="auto"/>
            <w:vAlign w:val="center"/>
          </w:tcPr>
          <w:p w14:paraId="0BE28EC2">
            <w:pPr>
              <w:widowControl/>
              <w:jc w:val="center"/>
              <w:rPr>
                <w:rFonts w:hint="eastAsia" w:ascii="仿宋_GB2312" w:hAnsi="仿宋_GB2312" w:eastAsia="仿宋_GB2312" w:cs="仿宋_GB2312"/>
                <w:b w:val="0"/>
                <w:bCs/>
                <w:color w:val="000000" w:themeColor="text1"/>
                <w:spacing w:val="20"/>
                <w:sz w:val="21"/>
                <w:szCs w:val="21"/>
                <w:lang w:val="en-US" w:eastAsia="zh-CN" w:bidi="ar-SA"/>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必修</w:t>
            </w:r>
          </w:p>
        </w:tc>
        <w:tc>
          <w:tcPr>
            <w:tcW w:w="579" w:type="pct"/>
            <w:shd w:val="clear" w:color="auto" w:fill="auto"/>
            <w:vAlign w:val="center"/>
          </w:tcPr>
          <w:p w14:paraId="0DEA54B6">
            <w:pPr>
              <w:widowControl/>
              <w:jc w:val="center"/>
              <w:rPr>
                <w:rFonts w:hint="eastAsia" w:ascii="仿宋_GB2312" w:hAnsi="仿宋_GB2312" w:eastAsia="仿宋_GB2312" w:cs="仿宋_GB2312"/>
                <w:b w:val="0"/>
                <w:bCs/>
                <w:color w:val="000000" w:themeColor="text1"/>
                <w:spacing w:val="20"/>
                <w:sz w:val="21"/>
                <w:szCs w:val="21"/>
                <w:lang w:val="en-US" w:eastAsia="zh-CN" w:bidi="ar-SA"/>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考查</w:t>
            </w:r>
          </w:p>
        </w:tc>
        <w:tc>
          <w:tcPr>
            <w:tcW w:w="602" w:type="pct"/>
            <w:shd w:val="clear" w:color="auto" w:fill="auto"/>
            <w:vAlign w:val="center"/>
          </w:tcPr>
          <w:p w14:paraId="1F6129C2">
            <w:pPr>
              <w:widowControl/>
              <w:jc w:val="center"/>
              <w:rPr>
                <w:rFonts w:hint="eastAsia" w:ascii="仿宋_GB2312" w:hAnsi="仿宋_GB2312" w:eastAsia="仿宋_GB2312" w:cs="仿宋_GB2312"/>
                <w:b w:val="0"/>
                <w:bCs/>
                <w:color w:val="000000" w:themeColor="text1"/>
                <w:spacing w:val="20"/>
                <w:sz w:val="21"/>
                <w:szCs w:val="21"/>
                <w:lang w:val="en-US" w:eastAsia="zh-CN" w:bidi="ar-SA"/>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春季学期</w:t>
            </w:r>
          </w:p>
        </w:tc>
      </w:tr>
      <w:tr w14:paraId="36A37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489" w:type="pct"/>
            <w:vAlign w:val="center"/>
          </w:tcPr>
          <w:p w14:paraId="063D627C">
            <w:pPr>
              <w:widowControl/>
              <w:jc w:val="center"/>
              <w:rPr>
                <w:rFonts w:hint="default" w:ascii="仿宋_GB2312" w:hAnsi="仿宋_GB2312" w:eastAsia="仿宋_GB2312" w:cs="仿宋_GB2312"/>
                <w:b w:val="0"/>
                <w:bCs/>
                <w:spacing w:val="20"/>
                <w:sz w:val="21"/>
                <w:szCs w:val="21"/>
                <w:lang w:val="en-US" w:eastAsia="zh-CN"/>
              </w:rPr>
            </w:pPr>
            <w:r>
              <w:rPr>
                <w:rFonts w:hint="eastAsia" w:ascii="仿宋_GB2312" w:hAnsi="仿宋_GB2312" w:eastAsia="仿宋_GB2312" w:cs="仿宋_GB2312"/>
                <w:b w:val="0"/>
                <w:bCs/>
                <w:spacing w:val="20"/>
                <w:sz w:val="21"/>
                <w:szCs w:val="21"/>
                <w:lang w:val="en-US" w:eastAsia="zh-CN"/>
              </w:rPr>
              <w:t>教师职业道德与政策法规</w:t>
            </w:r>
          </w:p>
        </w:tc>
        <w:tc>
          <w:tcPr>
            <w:tcW w:w="328" w:type="pct"/>
            <w:vAlign w:val="center"/>
          </w:tcPr>
          <w:p w14:paraId="28A8E9D4">
            <w:pPr>
              <w:widowControl/>
              <w:jc w:val="center"/>
              <w:rPr>
                <w:rFonts w:hint="default" w:ascii="仿宋_GB2312" w:hAnsi="仿宋_GB2312" w:eastAsia="仿宋_GB2312" w:cs="仿宋_GB2312"/>
                <w:b w:val="0"/>
                <w:bCs/>
                <w:spacing w:val="20"/>
                <w:sz w:val="21"/>
                <w:szCs w:val="21"/>
                <w:lang w:val="en-US" w:eastAsia="zh-CN"/>
              </w:rPr>
            </w:pPr>
            <w:r>
              <w:rPr>
                <w:rFonts w:hint="eastAsia" w:ascii="仿宋_GB2312" w:hAnsi="仿宋_GB2312" w:eastAsia="仿宋_GB2312" w:cs="仿宋_GB2312"/>
                <w:b w:val="0"/>
                <w:bCs/>
                <w:spacing w:val="20"/>
                <w:sz w:val="21"/>
                <w:szCs w:val="21"/>
                <w:lang w:val="en-US" w:eastAsia="zh-CN"/>
              </w:rPr>
              <w:t>2</w:t>
            </w:r>
          </w:p>
        </w:tc>
        <w:tc>
          <w:tcPr>
            <w:tcW w:w="571" w:type="pct"/>
            <w:vAlign w:val="center"/>
          </w:tcPr>
          <w:p w14:paraId="4A280955">
            <w:pPr>
              <w:widowControl/>
              <w:jc w:val="center"/>
              <w:rPr>
                <w:rFonts w:hint="default" w:ascii="仿宋_GB2312" w:hAnsi="仿宋_GB2312" w:eastAsia="仿宋_GB2312" w:cs="仿宋_GB2312"/>
                <w:b w:val="0"/>
                <w:bCs/>
                <w:spacing w:val="20"/>
                <w:sz w:val="21"/>
                <w:szCs w:val="21"/>
                <w:lang w:val="en-US" w:eastAsia="zh-CN"/>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30</w:t>
            </w:r>
          </w:p>
        </w:tc>
        <w:tc>
          <w:tcPr>
            <w:tcW w:w="435" w:type="pct"/>
            <w:vAlign w:val="center"/>
          </w:tcPr>
          <w:p w14:paraId="5788DE8C">
            <w:pPr>
              <w:widowControl/>
              <w:jc w:val="center"/>
              <w:rPr>
                <w:rFonts w:hint="default" w:ascii="仿宋_GB2312" w:hAnsi="仿宋_GB2312" w:eastAsia="仿宋_GB2312" w:cs="仿宋_GB2312"/>
                <w:b w:val="0"/>
                <w:bCs/>
                <w:spacing w:val="20"/>
                <w:sz w:val="21"/>
                <w:szCs w:val="21"/>
                <w:lang w:val="en-US" w:eastAsia="zh-CN"/>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18</w:t>
            </w:r>
          </w:p>
        </w:tc>
        <w:tc>
          <w:tcPr>
            <w:tcW w:w="438" w:type="pct"/>
            <w:vAlign w:val="center"/>
          </w:tcPr>
          <w:p w14:paraId="3C0E5ACD">
            <w:pPr>
              <w:widowControl/>
              <w:jc w:val="center"/>
              <w:rPr>
                <w:rFonts w:hint="eastAsia" w:ascii="仿宋_GB2312" w:hAnsi="仿宋_GB2312" w:eastAsia="仿宋_GB2312" w:cs="仿宋_GB2312"/>
                <w:b w:val="0"/>
                <w:bCs/>
                <w:spacing w:val="20"/>
                <w:sz w:val="21"/>
                <w:szCs w:val="21"/>
                <w:lang w:val="en-US" w:eastAsia="zh-CN"/>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12</w:t>
            </w:r>
          </w:p>
        </w:tc>
        <w:tc>
          <w:tcPr>
            <w:tcW w:w="554" w:type="pct"/>
            <w:shd w:val="clear" w:color="auto" w:fill="auto"/>
            <w:vAlign w:val="center"/>
          </w:tcPr>
          <w:p w14:paraId="4ABACDC5">
            <w:pPr>
              <w:widowControl/>
              <w:jc w:val="center"/>
              <w:rPr>
                <w:rFonts w:hint="eastAsia" w:ascii="仿宋_GB2312" w:hAnsi="仿宋_GB2312" w:eastAsia="仿宋_GB2312" w:cs="仿宋_GB2312"/>
                <w:b w:val="0"/>
                <w:bCs/>
                <w:color w:val="000000" w:themeColor="text1"/>
                <w:spacing w:val="20"/>
                <w:sz w:val="21"/>
                <w:szCs w:val="21"/>
                <w:lang w:val="en-US" w:eastAsia="zh-CN" w:bidi="ar-SA"/>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必修</w:t>
            </w:r>
          </w:p>
        </w:tc>
        <w:tc>
          <w:tcPr>
            <w:tcW w:w="579" w:type="pct"/>
            <w:shd w:val="clear" w:color="auto" w:fill="auto"/>
            <w:vAlign w:val="center"/>
          </w:tcPr>
          <w:p w14:paraId="6AAE831E">
            <w:pPr>
              <w:widowControl/>
              <w:jc w:val="center"/>
              <w:rPr>
                <w:rFonts w:hint="eastAsia" w:ascii="仿宋_GB2312" w:hAnsi="仿宋_GB2312" w:eastAsia="仿宋_GB2312" w:cs="仿宋_GB2312"/>
                <w:b w:val="0"/>
                <w:bCs/>
                <w:color w:val="000000" w:themeColor="text1"/>
                <w:spacing w:val="20"/>
                <w:sz w:val="21"/>
                <w:szCs w:val="21"/>
                <w:lang w:val="en-US" w:eastAsia="zh-CN" w:bidi="ar-SA"/>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考查</w:t>
            </w:r>
          </w:p>
        </w:tc>
        <w:tc>
          <w:tcPr>
            <w:tcW w:w="602" w:type="pct"/>
            <w:shd w:val="clear" w:color="auto" w:fill="auto"/>
            <w:vAlign w:val="center"/>
          </w:tcPr>
          <w:p w14:paraId="5C2030E3">
            <w:pPr>
              <w:widowControl/>
              <w:jc w:val="center"/>
              <w:rPr>
                <w:rFonts w:hint="eastAsia" w:ascii="仿宋_GB2312" w:hAnsi="仿宋_GB2312" w:eastAsia="仿宋_GB2312" w:cs="仿宋_GB2312"/>
                <w:b w:val="0"/>
                <w:bCs/>
                <w:color w:val="000000" w:themeColor="text1"/>
                <w:spacing w:val="20"/>
                <w:sz w:val="21"/>
                <w:szCs w:val="21"/>
                <w:lang w:val="en-US" w:eastAsia="zh-CN" w:bidi="ar-SA"/>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秋季学期</w:t>
            </w:r>
          </w:p>
        </w:tc>
      </w:tr>
      <w:tr w14:paraId="16631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489" w:type="pct"/>
            <w:shd w:val="clear" w:color="auto" w:fill="auto"/>
            <w:vAlign w:val="center"/>
          </w:tcPr>
          <w:p w14:paraId="6AAE5271">
            <w:pPr>
              <w:widowControl/>
              <w:jc w:val="center"/>
              <w:rPr>
                <w:rFonts w:hint="default" w:ascii="仿宋_GB2312" w:hAnsi="仿宋_GB2312" w:eastAsia="仿宋_GB2312" w:cs="仿宋_GB2312"/>
                <w:b w:val="0"/>
                <w:bCs/>
                <w:spacing w:val="20"/>
                <w:sz w:val="21"/>
                <w:szCs w:val="21"/>
                <w:lang w:val="en-US" w:eastAsia="zh-CN" w:bidi="ar-SA"/>
              </w:rPr>
            </w:pPr>
            <w:r>
              <w:rPr>
                <w:rFonts w:hint="eastAsia" w:ascii="仿宋_GB2312" w:hAnsi="仿宋_GB2312" w:eastAsia="仿宋_GB2312" w:cs="仿宋_GB2312"/>
                <w:b w:val="0"/>
                <w:bCs/>
                <w:spacing w:val="20"/>
                <w:sz w:val="21"/>
                <w:szCs w:val="21"/>
                <w:lang w:val="en-US" w:eastAsia="zh-CN"/>
              </w:rPr>
              <w:t>教师职业能力训练1</w:t>
            </w:r>
          </w:p>
        </w:tc>
        <w:tc>
          <w:tcPr>
            <w:tcW w:w="328" w:type="pct"/>
            <w:shd w:val="clear" w:color="auto" w:fill="auto"/>
            <w:vAlign w:val="center"/>
          </w:tcPr>
          <w:p w14:paraId="672451DE">
            <w:pPr>
              <w:widowControl/>
              <w:jc w:val="center"/>
              <w:rPr>
                <w:rFonts w:hint="default" w:ascii="仿宋_GB2312" w:hAnsi="仿宋_GB2312" w:eastAsia="仿宋_GB2312" w:cs="仿宋_GB2312"/>
                <w:b w:val="0"/>
                <w:bCs/>
                <w:spacing w:val="20"/>
                <w:sz w:val="21"/>
                <w:szCs w:val="21"/>
                <w:lang w:val="en-US" w:eastAsia="zh-CN" w:bidi="ar-SA"/>
              </w:rPr>
            </w:pPr>
            <w:r>
              <w:rPr>
                <w:rFonts w:hint="eastAsia" w:ascii="仿宋_GB2312" w:hAnsi="仿宋_GB2312" w:eastAsia="仿宋_GB2312" w:cs="仿宋_GB2312"/>
                <w:b w:val="0"/>
                <w:bCs/>
                <w:spacing w:val="20"/>
                <w:sz w:val="21"/>
                <w:szCs w:val="21"/>
                <w:lang w:val="en-US" w:eastAsia="zh-CN"/>
              </w:rPr>
              <w:t>2</w:t>
            </w:r>
          </w:p>
        </w:tc>
        <w:tc>
          <w:tcPr>
            <w:tcW w:w="571" w:type="pct"/>
            <w:shd w:val="clear" w:color="auto" w:fill="auto"/>
            <w:vAlign w:val="center"/>
          </w:tcPr>
          <w:p w14:paraId="581362D3">
            <w:pPr>
              <w:widowControl/>
              <w:jc w:val="center"/>
              <w:rPr>
                <w:rFonts w:hint="default" w:ascii="仿宋_GB2312" w:hAnsi="仿宋_GB2312" w:eastAsia="仿宋_GB2312" w:cs="仿宋_GB2312"/>
                <w:b w:val="0"/>
                <w:bCs/>
                <w:spacing w:val="20"/>
                <w:sz w:val="21"/>
                <w:szCs w:val="21"/>
                <w:lang w:val="en-US" w:eastAsia="zh-CN" w:bidi="ar-SA"/>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30</w:t>
            </w:r>
          </w:p>
        </w:tc>
        <w:tc>
          <w:tcPr>
            <w:tcW w:w="435" w:type="pct"/>
            <w:shd w:val="clear" w:color="auto" w:fill="auto"/>
            <w:vAlign w:val="center"/>
          </w:tcPr>
          <w:p w14:paraId="04F5F652">
            <w:pPr>
              <w:widowControl/>
              <w:jc w:val="center"/>
              <w:rPr>
                <w:rFonts w:hint="default" w:ascii="仿宋_GB2312" w:hAnsi="仿宋_GB2312" w:eastAsia="仿宋_GB2312" w:cs="仿宋_GB2312"/>
                <w:b w:val="0"/>
                <w:bCs/>
                <w:spacing w:val="20"/>
                <w:sz w:val="21"/>
                <w:szCs w:val="21"/>
                <w:lang w:val="en-US" w:eastAsia="zh-CN" w:bidi="ar-SA"/>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12</w:t>
            </w:r>
          </w:p>
        </w:tc>
        <w:tc>
          <w:tcPr>
            <w:tcW w:w="438" w:type="pct"/>
            <w:shd w:val="clear" w:color="auto" w:fill="auto"/>
            <w:vAlign w:val="center"/>
          </w:tcPr>
          <w:p w14:paraId="14D2FA5C">
            <w:pPr>
              <w:widowControl/>
              <w:jc w:val="center"/>
              <w:rPr>
                <w:rFonts w:hint="default" w:ascii="仿宋_GB2312" w:hAnsi="仿宋_GB2312" w:eastAsia="仿宋_GB2312" w:cs="仿宋_GB2312"/>
                <w:b w:val="0"/>
                <w:bCs/>
                <w:spacing w:val="20"/>
                <w:sz w:val="21"/>
                <w:szCs w:val="21"/>
                <w:lang w:val="en-US" w:eastAsia="zh-CN" w:bidi="ar-SA"/>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18</w:t>
            </w:r>
          </w:p>
        </w:tc>
        <w:tc>
          <w:tcPr>
            <w:tcW w:w="554" w:type="pct"/>
            <w:shd w:val="clear" w:color="auto" w:fill="auto"/>
            <w:vAlign w:val="center"/>
          </w:tcPr>
          <w:p w14:paraId="34539795">
            <w:pPr>
              <w:widowControl/>
              <w:jc w:val="center"/>
              <w:rPr>
                <w:rFonts w:hint="eastAsia" w:ascii="仿宋_GB2312" w:hAnsi="仿宋_GB2312" w:eastAsia="仿宋_GB2312" w:cs="仿宋_GB2312"/>
                <w:b w:val="0"/>
                <w:bCs/>
                <w:color w:val="000000" w:themeColor="text1"/>
                <w:spacing w:val="20"/>
                <w:sz w:val="21"/>
                <w:szCs w:val="21"/>
                <w:lang w:val="en-US" w:eastAsia="zh-CN" w:bidi="ar-SA"/>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必修</w:t>
            </w:r>
          </w:p>
        </w:tc>
        <w:tc>
          <w:tcPr>
            <w:tcW w:w="579" w:type="pct"/>
            <w:shd w:val="clear" w:color="auto" w:fill="auto"/>
            <w:vAlign w:val="center"/>
          </w:tcPr>
          <w:p w14:paraId="799AF725">
            <w:pPr>
              <w:widowControl/>
              <w:jc w:val="center"/>
              <w:rPr>
                <w:rFonts w:hint="eastAsia" w:ascii="仿宋_GB2312" w:hAnsi="仿宋_GB2312" w:eastAsia="仿宋_GB2312" w:cs="仿宋_GB2312"/>
                <w:b w:val="0"/>
                <w:bCs/>
                <w:color w:val="000000" w:themeColor="text1"/>
                <w:spacing w:val="20"/>
                <w:sz w:val="21"/>
                <w:szCs w:val="21"/>
                <w:lang w:val="en-US" w:eastAsia="zh-CN" w:bidi="ar-SA"/>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考查</w:t>
            </w:r>
          </w:p>
        </w:tc>
        <w:tc>
          <w:tcPr>
            <w:tcW w:w="602" w:type="pct"/>
            <w:shd w:val="clear" w:color="auto" w:fill="auto"/>
            <w:vAlign w:val="center"/>
          </w:tcPr>
          <w:p w14:paraId="78F5101E">
            <w:pPr>
              <w:widowControl/>
              <w:jc w:val="center"/>
              <w:rPr>
                <w:rFonts w:hint="default" w:ascii="仿宋_GB2312" w:hAnsi="仿宋_GB2312" w:eastAsia="仿宋_GB2312" w:cs="仿宋_GB2312"/>
                <w:b w:val="0"/>
                <w:bCs/>
                <w:color w:val="000000" w:themeColor="text1"/>
                <w:spacing w:val="20"/>
                <w:sz w:val="21"/>
                <w:szCs w:val="21"/>
                <w:lang w:val="en-US" w:eastAsia="zh-CN" w:bidi="ar-SA"/>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秋季学期</w:t>
            </w:r>
          </w:p>
        </w:tc>
      </w:tr>
      <w:tr w14:paraId="52D44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489" w:type="pct"/>
            <w:shd w:val="clear" w:color="auto" w:fill="auto"/>
            <w:vAlign w:val="center"/>
          </w:tcPr>
          <w:p w14:paraId="70D1A097">
            <w:pPr>
              <w:widowControl/>
              <w:jc w:val="center"/>
              <w:rPr>
                <w:rFonts w:hint="default" w:ascii="仿宋_GB2312" w:hAnsi="仿宋_GB2312" w:eastAsia="仿宋_GB2312" w:cs="仿宋_GB2312"/>
                <w:b w:val="0"/>
                <w:bCs/>
                <w:spacing w:val="20"/>
                <w:sz w:val="21"/>
                <w:szCs w:val="21"/>
                <w:lang w:val="en-US" w:eastAsia="zh-CN" w:bidi="ar-SA"/>
              </w:rPr>
            </w:pPr>
            <w:r>
              <w:rPr>
                <w:rFonts w:hint="eastAsia" w:ascii="仿宋_GB2312" w:hAnsi="仿宋_GB2312" w:eastAsia="仿宋_GB2312" w:cs="仿宋_GB2312"/>
                <w:b w:val="0"/>
                <w:bCs/>
                <w:spacing w:val="20"/>
                <w:sz w:val="21"/>
                <w:szCs w:val="21"/>
                <w:lang w:val="en-US" w:eastAsia="zh-CN"/>
              </w:rPr>
              <w:t>教师职业能力训练2</w:t>
            </w:r>
          </w:p>
        </w:tc>
        <w:tc>
          <w:tcPr>
            <w:tcW w:w="328" w:type="pct"/>
            <w:shd w:val="clear" w:color="auto" w:fill="auto"/>
            <w:vAlign w:val="center"/>
          </w:tcPr>
          <w:p w14:paraId="0617CA7F">
            <w:pPr>
              <w:widowControl/>
              <w:jc w:val="center"/>
              <w:rPr>
                <w:rFonts w:hint="default" w:ascii="仿宋_GB2312" w:hAnsi="仿宋_GB2312" w:eastAsia="仿宋_GB2312" w:cs="仿宋_GB2312"/>
                <w:b w:val="0"/>
                <w:bCs/>
                <w:spacing w:val="20"/>
                <w:sz w:val="21"/>
                <w:szCs w:val="21"/>
                <w:lang w:val="en-US" w:eastAsia="zh-CN" w:bidi="ar-SA"/>
              </w:rPr>
            </w:pPr>
            <w:r>
              <w:rPr>
                <w:rFonts w:hint="eastAsia" w:ascii="仿宋_GB2312" w:hAnsi="仿宋_GB2312" w:eastAsia="仿宋_GB2312" w:cs="仿宋_GB2312"/>
                <w:b w:val="0"/>
                <w:bCs/>
                <w:spacing w:val="20"/>
                <w:sz w:val="21"/>
                <w:szCs w:val="21"/>
                <w:lang w:val="en-US" w:eastAsia="zh-CN" w:bidi="ar-SA"/>
              </w:rPr>
              <w:t>2</w:t>
            </w:r>
          </w:p>
        </w:tc>
        <w:tc>
          <w:tcPr>
            <w:tcW w:w="571" w:type="pct"/>
            <w:vAlign w:val="center"/>
          </w:tcPr>
          <w:p w14:paraId="7F038D95">
            <w:pPr>
              <w:widowControl/>
              <w:jc w:val="center"/>
              <w:rPr>
                <w:rFonts w:hint="default" w:ascii="仿宋_GB2312" w:hAnsi="仿宋_GB2312" w:eastAsia="仿宋_GB2312" w:cs="仿宋_GB2312"/>
                <w:b w:val="0"/>
                <w:bCs/>
                <w:spacing w:val="20"/>
                <w:sz w:val="21"/>
                <w:szCs w:val="21"/>
                <w:lang w:val="en-US" w:eastAsia="zh-CN"/>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30</w:t>
            </w:r>
          </w:p>
        </w:tc>
        <w:tc>
          <w:tcPr>
            <w:tcW w:w="435" w:type="pct"/>
            <w:vAlign w:val="center"/>
          </w:tcPr>
          <w:p w14:paraId="295759DC">
            <w:pPr>
              <w:widowControl/>
              <w:jc w:val="center"/>
              <w:rPr>
                <w:rFonts w:hint="default" w:ascii="仿宋_GB2312" w:hAnsi="仿宋_GB2312" w:eastAsia="仿宋_GB2312" w:cs="仿宋_GB2312"/>
                <w:b w:val="0"/>
                <w:bCs/>
                <w:spacing w:val="20"/>
                <w:sz w:val="21"/>
                <w:szCs w:val="21"/>
                <w:lang w:val="en-US" w:eastAsia="zh-CN"/>
              </w:rPr>
            </w:pPr>
            <w:r>
              <w:rPr>
                <w:rFonts w:hint="eastAsia" w:ascii="仿宋_GB2312" w:hAnsi="仿宋_GB2312" w:eastAsia="仿宋_GB2312" w:cs="仿宋_GB2312"/>
                <w:b w:val="0"/>
                <w:bCs/>
                <w:spacing w:val="20"/>
                <w:sz w:val="21"/>
                <w:szCs w:val="21"/>
                <w:lang w:val="en-US" w:eastAsia="zh-CN"/>
              </w:rPr>
              <w:t>6</w:t>
            </w:r>
          </w:p>
        </w:tc>
        <w:tc>
          <w:tcPr>
            <w:tcW w:w="438" w:type="pct"/>
            <w:vAlign w:val="center"/>
          </w:tcPr>
          <w:p w14:paraId="1380ADF9">
            <w:pPr>
              <w:widowControl/>
              <w:jc w:val="center"/>
              <w:rPr>
                <w:rFonts w:hint="default" w:ascii="仿宋_GB2312" w:hAnsi="仿宋_GB2312" w:eastAsia="仿宋_GB2312" w:cs="仿宋_GB2312"/>
                <w:b w:val="0"/>
                <w:bCs/>
                <w:spacing w:val="20"/>
                <w:sz w:val="21"/>
                <w:szCs w:val="21"/>
                <w:lang w:val="en-US" w:eastAsia="zh-CN"/>
              </w:rPr>
            </w:pPr>
            <w:r>
              <w:rPr>
                <w:rFonts w:hint="eastAsia" w:ascii="仿宋_GB2312" w:hAnsi="仿宋_GB2312" w:eastAsia="仿宋_GB2312" w:cs="仿宋_GB2312"/>
                <w:b w:val="0"/>
                <w:bCs/>
                <w:spacing w:val="20"/>
                <w:sz w:val="21"/>
                <w:szCs w:val="21"/>
                <w:lang w:val="en-US" w:eastAsia="zh-CN"/>
              </w:rPr>
              <w:t>24</w:t>
            </w:r>
          </w:p>
        </w:tc>
        <w:tc>
          <w:tcPr>
            <w:tcW w:w="554" w:type="pct"/>
            <w:shd w:val="clear" w:color="auto" w:fill="auto"/>
            <w:vAlign w:val="center"/>
          </w:tcPr>
          <w:p w14:paraId="713AD054">
            <w:pPr>
              <w:widowControl/>
              <w:jc w:val="center"/>
              <w:rPr>
                <w:rFonts w:hint="eastAsia" w:ascii="仿宋_GB2312" w:hAnsi="仿宋_GB2312" w:eastAsia="仿宋_GB2312" w:cs="仿宋_GB2312"/>
                <w:b w:val="0"/>
                <w:bCs/>
                <w:color w:val="000000" w:themeColor="text1"/>
                <w:spacing w:val="20"/>
                <w:sz w:val="21"/>
                <w:szCs w:val="21"/>
                <w:lang w:val="en-US" w:eastAsia="zh-CN" w:bidi="ar-SA"/>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必修</w:t>
            </w:r>
          </w:p>
        </w:tc>
        <w:tc>
          <w:tcPr>
            <w:tcW w:w="579" w:type="pct"/>
            <w:shd w:val="clear" w:color="auto" w:fill="auto"/>
            <w:vAlign w:val="center"/>
          </w:tcPr>
          <w:p w14:paraId="29101C13">
            <w:pPr>
              <w:widowControl/>
              <w:jc w:val="center"/>
              <w:rPr>
                <w:rFonts w:hint="eastAsia" w:ascii="仿宋_GB2312" w:hAnsi="仿宋_GB2312" w:eastAsia="仿宋_GB2312" w:cs="仿宋_GB2312"/>
                <w:b w:val="0"/>
                <w:bCs/>
                <w:color w:val="000000" w:themeColor="text1"/>
                <w:spacing w:val="20"/>
                <w:sz w:val="21"/>
                <w:szCs w:val="21"/>
                <w:lang w:val="en-US" w:eastAsia="zh-CN" w:bidi="ar-SA"/>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考查</w:t>
            </w:r>
          </w:p>
        </w:tc>
        <w:tc>
          <w:tcPr>
            <w:tcW w:w="602" w:type="pct"/>
            <w:shd w:val="clear" w:color="auto" w:fill="auto"/>
            <w:vAlign w:val="center"/>
          </w:tcPr>
          <w:p w14:paraId="691B178D">
            <w:pPr>
              <w:widowControl/>
              <w:jc w:val="center"/>
              <w:rPr>
                <w:rFonts w:hint="eastAsia" w:ascii="仿宋_GB2312" w:hAnsi="仿宋_GB2312" w:eastAsia="仿宋_GB2312" w:cs="仿宋_GB2312"/>
                <w:b w:val="0"/>
                <w:bCs/>
                <w:color w:val="000000" w:themeColor="text1"/>
                <w:spacing w:val="20"/>
                <w:sz w:val="21"/>
                <w:szCs w:val="21"/>
                <w:lang w:val="en-US" w:eastAsia="zh-CN" w:bidi="ar-SA"/>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秋季学期</w:t>
            </w:r>
          </w:p>
        </w:tc>
      </w:tr>
      <w:tr w14:paraId="5875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89" w:type="pct"/>
            <w:tcBorders>
              <w:bottom w:val="single" w:color="auto" w:sz="4" w:space="0"/>
            </w:tcBorders>
            <w:vAlign w:val="center"/>
          </w:tcPr>
          <w:p w14:paraId="38906599">
            <w:pPr>
              <w:widowControl/>
              <w:jc w:val="cente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合计</w:t>
            </w:r>
          </w:p>
        </w:tc>
        <w:tc>
          <w:tcPr>
            <w:tcW w:w="328" w:type="pct"/>
            <w:tcBorders>
              <w:bottom w:val="single" w:color="auto" w:sz="4" w:space="0"/>
            </w:tcBorders>
            <w:vAlign w:val="center"/>
          </w:tcPr>
          <w:p w14:paraId="26FFA5EA">
            <w:pPr>
              <w:widowControl/>
              <w:jc w:val="cente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10</w:t>
            </w:r>
          </w:p>
        </w:tc>
        <w:tc>
          <w:tcPr>
            <w:tcW w:w="571" w:type="pct"/>
            <w:tcBorders>
              <w:bottom w:val="single" w:color="auto" w:sz="4" w:space="0"/>
            </w:tcBorders>
            <w:vAlign w:val="center"/>
          </w:tcPr>
          <w:p w14:paraId="50384446">
            <w:pPr>
              <w:widowControl/>
              <w:jc w:val="cente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150</w:t>
            </w:r>
          </w:p>
        </w:tc>
        <w:tc>
          <w:tcPr>
            <w:tcW w:w="435" w:type="pct"/>
            <w:tcBorders>
              <w:bottom w:val="single" w:color="auto" w:sz="4" w:space="0"/>
            </w:tcBorders>
            <w:vAlign w:val="center"/>
          </w:tcPr>
          <w:p w14:paraId="25A7C00F">
            <w:pPr>
              <w:widowControl/>
              <w:jc w:val="center"/>
              <w:rPr>
                <w:rFonts w:hint="default"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72</w:t>
            </w:r>
          </w:p>
        </w:tc>
        <w:tc>
          <w:tcPr>
            <w:tcW w:w="438" w:type="pct"/>
            <w:tcBorders>
              <w:bottom w:val="single" w:color="auto" w:sz="4" w:space="0"/>
            </w:tcBorders>
            <w:vAlign w:val="center"/>
          </w:tcPr>
          <w:p w14:paraId="68631963">
            <w:pPr>
              <w:widowControl/>
              <w:jc w:val="center"/>
              <w:rPr>
                <w:rFonts w:hint="default" w:ascii="仿宋_GB2312" w:hAnsi="仿宋_GB2312" w:eastAsia="仿宋_GB2312" w:cs="仿宋_GB2312"/>
                <w:b w:val="0"/>
                <w:bCs/>
                <w:color w:val="000000" w:themeColor="text1"/>
                <w:spacing w:val="20"/>
                <w:sz w:val="21"/>
                <w:szCs w:val="21"/>
                <w:lang w:val="en-US" w:eastAsia="zh-CN"/>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78</w:t>
            </w:r>
          </w:p>
        </w:tc>
        <w:tc>
          <w:tcPr>
            <w:tcW w:w="554" w:type="pct"/>
            <w:tcBorders>
              <w:bottom w:val="single" w:color="auto" w:sz="4" w:space="0"/>
            </w:tcBorders>
            <w:vAlign w:val="center"/>
          </w:tcPr>
          <w:p w14:paraId="38C05FCA">
            <w:pPr>
              <w:widowControl/>
              <w:jc w:val="center"/>
              <w:rPr>
                <w:rFonts w:hint="eastAsia" w:ascii="仿宋_GB2312" w:hAnsi="仿宋_GB2312" w:eastAsia="仿宋_GB2312" w:cs="仿宋_GB2312"/>
                <w:b w:val="0"/>
                <w:bCs/>
                <w:color w:val="000000" w:themeColor="text1"/>
                <w:spacing w:val="20"/>
                <w:sz w:val="21"/>
                <w:szCs w:val="21"/>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14:textFill>
                  <w14:solidFill>
                    <w14:schemeClr w14:val="tx1"/>
                  </w14:solidFill>
                </w14:textFill>
              </w:rPr>
              <w:t>-</w:t>
            </w:r>
          </w:p>
        </w:tc>
        <w:tc>
          <w:tcPr>
            <w:tcW w:w="579" w:type="pct"/>
            <w:tcBorders>
              <w:bottom w:val="single" w:color="auto" w:sz="4" w:space="0"/>
            </w:tcBorders>
            <w:vAlign w:val="center"/>
          </w:tcPr>
          <w:p w14:paraId="7417592C">
            <w:pPr>
              <w:widowControl/>
              <w:jc w:val="center"/>
              <w:rPr>
                <w:rFonts w:hint="eastAsia" w:ascii="仿宋_GB2312" w:hAnsi="仿宋_GB2312" w:eastAsia="仿宋_GB2312" w:cs="仿宋_GB2312"/>
                <w:b w:val="0"/>
                <w:bCs/>
                <w:color w:val="000000" w:themeColor="text1"/>
                <w:spacing w:val="20"/>
                <w:sz w:val="21"/>
                <w:szCs w:val="21"/>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14:textFill>
                  <w14:solidFill>
                    <w14:schemeClr w14:val="tx1"/>
                  </w14:solidFill>
                </w14:textFill>
              </w:rPr>
              <w:t>-</w:t>
            </w:r>
          </w:p>
        </w:tc>
        <w:tc>
          <w:tcPr>
            <w:tcW w:w="602" w:type="pct"/>
            <w:tcBorders>
              <w:bottom w:val="single" w:color="auto" w:sz="4" w:space="0"/>
            </w:tcBorders>
            <w:vAlign w:val="center"/>
          </w:tcPr>
          <w:p w14:paraId="3054D5D9">
            <w:pPr>
              <w:widowControl/>
              <w:jc w:val="center"/>
              <w:rPr>
                <w:rFonts w:hint="eastAsia" w:ascii="仿宋_GB2312" w:hAnsi="仿宋_GB2312" w:eastAsia="仿宋_GB2312" w:cs="仿宋_GB2312"/>
                <w:b w:val="0"/>
                <w:bCs/>
                <w:color w:val="000000" w:themeColor="text1"/>
                <w:spacing w:val="20"/>
                <w:sz w:val="21"/>
                <w:szCs w:val="21"/>
                <w14:textFill>
                  <w14:solidFill>
                    <w14:schemeClr w14:val="tx1"/>
                  </w14:solidFill>
                </w14:textFill>
              </w:rPr>
            </w:pPr>
            <w:r>
              <w:rPr>
                <w:rFonts w:hint="eastAsia" w:ascii="仿宋_GB2312" w:hAnsi="仿宋_GB2312" w:eastAsia="仿宋_GB2312" w:cs="仿宋_GB2312"/>
                <w:b w:val="0"/>
                <w:bCs/>
                <w:color w:val="000000" w:themeColor="text1"/>
                <w:spacing w:val="20"/>
                <w:sz w:val="21"/>
                <w:szCs w:val="21"/>
                <w14:textFill>
                  <w14:solidFill>
                    <w14:schemeClr w14:val="tx1"/>
                  </w14:solidFill>
                </w14:textFill>
              </w:rPr>
              <w:t>-</w:t>
            </w:r>
          </w:p>
        </w:tc>
      </w:tr>
    </w:tbl>
    <w:p w14:paraId="1BFA77E3">
      <w:pPr>
        <w:widowControl/>
        <w:spacing w:line="360" w:lineRule="auto"/>
        <w:ind w:firstLine="598" w:firstLineChars="187"/>
        <w:jc w:val="left"/>
        <w:rPr>
          <w:rFonts w:ascii="黑体" w:hAnsi="黑体" w:eastAsia="黑体" w:cs="黑体"/>
          <w:bCs/>
          <w:sz w:val="28"/>
          <w:szCs w:val="28"/>
        </w:rPr>
      </w:pPr>
      <w:r>
        <w:rPr>
          <w:sz w:val="32"/>
        </w:rPr>
        <w:br w:type="page"/>
      </w:r>
      <w:r>
        <w:rPr>
          <w:rFonts w:hint="eastAsia" w:ascii="黑体" w:hAnsi="黑体" w:eastAsia="黑体" w:cs="黑体"/>
          <w:bCs/>
          <w:sz w:val="28"/>
          <w:szCs w:val="28"/>
        </w:rPr>
        <w:t>六、课程简介</w:t>
      </w:r>
    </w:p>
    <w:tbl>
      <w:tblPr>
        <w:tblStyle w:val="2"/>
        <w:tblW w:w="9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4"/>
        <w:gridCol w:w="2613"/>
        <w:gridCol w:w="5581"/>
      </w:tblGrid>
      <w:tr w14:paraId="29537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004" w:type="dxa"/>
            <w:tcBorders>
              <w:top w:val="single" w:color="auto" w:sz="4" w:space="0"/>
            </w:tcBorders>
            <w:vAlign w:val="center"/>
          </w:tcPr>
          <w:p w14:paraId="23FABFF7">
            <w:pPr>
              <w:widowControl/>
              <w:jc w:val="center"/>
              <w:rPr>
                <w:rFonts w:hint="eastAsia" w:ascii="黑体" w:hAnsi="黑体" w:eastAsia="黑体" w:cs="黑体"/>
                <w:b w:val="0"/>
                <w:bCs/>
                <w:spacing w:val="20"/>
                <w:sz w:val="21"/>
                <w:szCs w:val="21"/>
              </w:rPr>
            </w:pPr>
            <w:r>
              <w:rPr>
                <w:rFonts w:hint="eastAsia" w:ascii="黑体" w:hAnsi="黑体" w:eastAsia="黑体" w:cs="黑体"/>
                <w:b w:val="0"/>
                <w:bCs/>
                <w:spacing w:val="20"/>
                <w:sz w:val="21"/>
                <w:szCs w:val="21"/>
              </w:rPr>
              <w:t>序号</w:t>
            </w:r>
          </w:p>
        </w:tc>
        <w:tc>
          <w:tcPr>
            <w:tcW w:w="2613" w:type="dxa"/>
            <w:tcBorders>
              <w:top w:val="single" w:color="auto" w:sz="4" w:space="0"/>
            </w:tcBorders>
            <w:vAlign w:val="center"/>
          </w:tcPr>
          <w:p w14:paraId="5300F9AD">
            <w:pPr>
              <w:widowControl/>
              <w:jc w:val="center"/>
              <w:rPr>
                <w:rFonts w:hint="eastAsia" w:ascii="黑体" w:hAnsi="黑体" w:eastAsia="黑体" w:cs="黑体"/>
                <w:b w:val="0"/>
                <w:bCs/>
                <w:spacing w:val="20"/>
                <w:sz w:val="21"/>
                <w:szCs w:val="21"/>
              </w:rPr>
            </w:pPr>
            <w:r>
              <w:rPr>
                <w:rFonts w:hint="eastAsia" w:ascii="黑体" w:hAnsi="黑体" w:eastAsia="黑体" w:cs="黑体"/>
                <w:b w:val="0"/>
                <w:bCs/>
                <w:spacing w:val="20"/>
                <w:sz w:val="21"/>
                <w:szCs w:val="21"/>
              </w:rPr>
              <w:t>课程名称</w:t>
            </w:r>
          </w:p>
        </w:tc>
        <w:tc>
          <w:tcPr>
            <w:tcW w:w="5581" w:type="dxa"/>
            <w:tcBorders>
              <w:top w:val="single" w:color="auto" w:sz="4" w:space="0"/>
              <w:bottom w:val="single" w:color="auto" w:sz="4" w:space="0"/>
            </w:tcBorders>
            <w:vAlign w:val="center"/>
          </w:tcPr>
          <w:p w14:paraId="005B8980">
            <w:pPr>
              <w:widowControl/>
              <w:jc w:val="center"/>
              <w:rPr>
                <w:rFonts w:hint="eastAsia" w:ascii="黑体" w:hAnsi="黑体" w:eastAsia="黑体" w:cs="黑体"/>
                <w:b w:val="0"/>
                <w:bCs/>
                <w:sz w:val="21"/>
                <w:szCs w:val="21"/>
              </w:rPr>
            </w:pPr>
            <w:r>
              <w:rPr>
                <w:rFonts w:hint="eastAsia" w:ascii="黑体" w:hAnsi="黑体" w:eastAsia="黑体" w:cs="黑体"/>
                <w:b w:val="0"/>
                <w:bCs/>
                <w:spacing w:val="20"/>
                <w:sz w:val="21"/>
                <w:szCs w:val="21"/>
              </w:rPr>
              <w:t>课程简介</w:t>
            </w:r>
          </w:p>
        </w:tc>
      </w:tr>
      <w:tr w14:paraId="094E3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8" w:hRule="atLeast"/>
          <w:jc w:val="center"/>
        </w:trPr>
        <w:tc>
          <w:tcPr>
            <w:tcW w:w="1004" w:type="dxa"/>
            <w:vAlign w:val="center"/>
          </w:tcPr>
          <w:p w14:paraId="05C72216">
            <w:pPr>
              <w:widowControl/>
              <w:jc w:val="center"/>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1</w:t>
            </w:r>
          </w:p>
        </w:tc>
        <w:tc>
          <w:tcPr>
            <w:tcW w:w="2613" w:type="dxa"/>
            <w:vAlign w:val="center"/>
          </w:tcPr>
          <w:p w14:paraId="7CB97DB7">
            <w:pPr>
              <w:widowControl/>
              <w:jc w:val="center"/>
              <w:rPr>
                <w:rFonts w:hint="default" w:ascii="仿宋_GB2312" w:hAnsi="仿宋_GB2312" w:eastAsia="仿宋_GB2312" w:cs="仿宋_GB2312"/>
                <w:bCs/>
                <w:sz w:val="21"/>
                <w:szCs w:val="21"/>
                <w:lang w:val="en-US" w:eastAsia="zh-CN"/>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教育理论综合</w:t>
            </w:r>
          </w:p>
        </w:tc>
        <w:tc>
          <w:tcPr>
            <w:tcW w:w="5581" w:type="dxa"/>
            <w:tcBorders>
              <w:top w:val="single" w:color="auto" w:sz="4" w:space="0"/>
              <w:bottom w:val="single" w:color="auto" w:sz="4" w:space="0"/>
            </w:tcBorders>
            <w:vAlign w:val="center"/>
          </w:tcPr>
          <w:p w14:paraId="1369234F">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_GB2312" w:hAnsi="仿宋_GB2312" w:eastAsia="仿宋_GB2312" w:cs="仿宋_GB2312"/>
                <w:b w:val="0"/>
                <w:bCs/>
                <w:spacing w:val="20"/>
                <w:sz w:val="21"/>
                <w:szCs w:val="21"/>
                <w:lang w:val="en-US" w:eastAsia="zh-CN"/>
              </w:rPr>
            </w:pPr>
            <w:r>
              <w:rPr>
                <w:rFonts w:hint="eastAsia" w:ascii="宋体" w:hAnsi="宋体"/>
                <w:b w:val="0"/>
                <w:bCs w:val="0"/>
                <w:lang w:val="en-US" w:eastAsia="zh-CN"/>
              </w:rPr>
              <w:t>本课程</w:t>
            </w:r>
            <w:r>
              <w:rPr>
                <w:rFonts w:hint="eastAsia" w:ascii="宋体" w:hAnsi="宋体"/>
                <w:b w:val="0"/>
                <w:bCs w:val="0"/>
              </w:rPr>
              <w:t>以新时期教师必备的专业素养为核心，主要讲授教育的基本原理、课程与教学论与教师的管理工作等基本理论知识，并指导教育教学实践</w:t>
            </w:r>
            <w:r>
              <w:rPr>
                <w:rFonts w:hint="eastAsia" w:ascii="宋体" w:hAnsi="宋体"/>
                <w:b w:val="0"/>
                <w:bCs w:val="0"/>
                <w:lang w:eastAsia="zh-CN"/>
              </w:rPr>
              <w:t>。</w:t>
            </w:r>
            <w:r>
              <w:rPr>
                <w:rFonts w:hint="eastAsia" w:ascii="宋体" w:hAnsi="宋体"/>
                <w:b w:val="0"/>
                <w:bCs w:val="0"/>
                <w:lang w:val="en-US" w:eastAsia="zh-CN"/>
              </w:rPr>
              <w:t>通过课程的学习，学生</w:t>
            </w:r>
            <w:r>
              <w:rPr>
                <w:rFonts w:hint="eastAsia" w:ascii="宋体" w:hAnsi="宋体"/>
              </w:rPr>
              <w:t>掌握教育的本质与发展阶段，理解教育规律，掌握并理解教育目的与教育制度及我国当前的教育目的与教育制度；掌握课程内涵与基本流派，掌握课程组织表现形式及我国基础教育课程改革的基本理念，重点掌握教学的基本规律，理解并掌握工作的基本环节中正确运用教学原则、教学方法、教学组织形式</w:t>
            </w:r>
            <w:r>
              <w:rPr>
                <w:rFonts w:hint="eastAsia" w:ascii="宋体" w:hAnsi="宋体"/>
                <w:lang w:eastAsia="zh-CN"/>
              </w:rPr>
              <w:t>；</w:t>
            </w:r>
            <w:r>
              <w:rPr>
                <w:rFonts w:hint="eastAsia" w:ascii="宋体" w:hAnsi="宋体"/>
              </w:rPr>
              <w:t>掌握班主任工作内容与班级管理具体内容，重点掌握良好班集体建设的方法，理解课堂管理、课堂气氛、课堂纪律的影响因素与管理的方式方法。</w:t>
            </w:r>
          </w:p>
        </w:tc>
      </w:tr>
      <w:tr w14:paraId="46D80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5" w:hRule="exact"/>
          <w:jc w:val="center"/>
        </w:trPr>
        <w:tc>
          <w:tcPr>
            <w:tcW w:w="1004" w:type="dxa"/>
            <w:vAlign w:val="center"/>
          </w:tcPr>
          <w:p w14:paraId="6F56B075">
            <w:pPr>
              <w:widowControl/>
              <w:jc w:val="center"/>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2</w:t>
            </w:r>
          </w:p>
        </w:tc>
        <w:tc>
          <w:tcPr>
            <w:tcW w:w="2613" w:type="dxa"/>
            <w:vAlign w:val="center"/>
          </w:tcPr>
          <w:p w14:paraId="2C428520">
            <w:pPr>
              <w:widowControl/>
              <w:jc w:val="center"/>
              <w:rPr>
                <w:rFonts w:hint="default" w:ascii="仿宋_GB2312" w:hAnsi="仿宋_GB2312" w:eastAsia="仿宋_GB2312" w:cs="仿宋_GB2312"/>
                <w:bCs/>
                <w:sz w:val="21"/>
                <w:szCs w:val="21"/>
                <w:lang w:val="en-US"/>
              </w:rPr>
            </w:pPr>
            <w:r>
              <w:rPr>
                <w:rFonts w:hint="eastAsia" w:ascii="仿宋_GB2312" w:hAnsi="仿宋_GB2312" w:eastAsia="仿宋_GB2312" w:cs="仿宋_GB2312"/>
                <w:b w:val="0"/>
                <w:bCs/>
                <w:color w:val="000000" w:themeColor="text1"/>
                <w:spacing w:val="20"/>
                <w:sz w:val="21"/>
                <w:szCs w:val="21"/>
                <w:lang w:val="en-US" w:eastAsia="zh-CN"/>
                <w14:textFill>
                  <w14:solidFill>
                    <w14:schemeClr w14:val="tx1"/>
                  </w14:solidFill>
                </w14:textFill>
              </w:rPr>
              <w:t>教育心理学综合</w:t>
            </w:r>
          </w:p>
        </w:tc>
        <w:tc>
          <w:tcPr>
            <w:tcW w:w="5581" w:type="dxa"/>
            <w:tcBorders>
              <w:top w:val="single" w:color="auto" w:sz="4" w:space="0"/>
              <w:bottom w:val="single" w:color="auto" w:sz="4" w:space="0"/>
            </w:tcBorders>
            <w:vAlign w:val="center"/>
          </w:tcPr>
          <w:p w14:paraId="310ECD8C">
            <w:pPr>
              <w:keepNext w:val="0"/>
              <w:keepLines w:val="0"/>
              <w:pageBreakBefore w:val="0"/>
              <w:widowControl/>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b w:val="0"/>
                <w:bCs/>
                <w:spacing w:val="20"/>
                <w:sz w:val="21"/>
                <w:szCs w:val="21"/>
                <w:lang w:val="en-US" w:eastAsia="zh-CN"/>
              </w:rPr>
            </w:pPr>
            <w:r>
              <w:rPr>
                <w:rFonts w:hint="eastAsia" w:ascii="宋体" w:hAnsi="宋体"/>
              </w:rPr>
              <w:t>本课程基于以新时期教师必备的专业素养为核心，主要介绍了基本的心理现象与心理规律</w:t>
            </w:r>
            <w:r>
              <w:rPr>
                <w:rFonts w:hint="eastAsia" w:ascii="宋体" w:hAnsi="宋体"/>
                <w:lang w:eastAsia="zh-CN"/>
              </w:rPr>
              <w:t>。</w:t>
            </w:r>
            <w:r>
              <w:rPr>
                <w:rFonts w:hint="eastAsia" w:ascii="宋体" w:hAnsi="宋体"/>
                <w:lang w:val="en-US" w:eastAsia="zh-CN"/>
              </w:rPr>
              <w:t>通过课程学习，能够</w:t>
            </w:r>
            <w:r>
              <w:rPr>
                <w:rFonts w:hint="eastAsia" w:ascii="Times New Roman" w:hAnsi="Times New Roman"/>
              </w:rPr>
              <w:t>掌握认知心理、情意心理、人格心理等基础知识，理解不同流派的情绪理论、人格理论，形成初步的科学心理观</w:t>
            </w:r>
            <w:r>
              <w:rPr>
                <w:rFonts w:hint="eastAsia" w:ascii="Times New Roman" w:hAnsi="Times New Roman"/>
                <w:lang w:eastAsia="zh-CN"/>
              </w:rPr>
              <w:t>；</w:t>
            </w:r>
            <w:r>
              <w:rPr>
                <w:rFonts w:hint="eastAsia" w:ascii="Times New Roman" w:hAnsi="Times New Roman"/>
              </w:rPr>
              <w:t>了解中学生身心发展和养成教育规律，能够科学地进行育人活动</w:t>
            </w:r>
            <w:r>
              <w:rPr>
                <w:rFonts w:hint="eastAsia" w:ascii="Times New Roman" w:hAnsi="Times New Roman"/>
                <w:lang w:eastAsia="zh-CN"/>
              </w:rPr>
              <w:t>；</w:t>
            </w:r>
            <w:r>
              <w:rPr>
                <w:rFonts w:hint="eastAsia" w:ascii="宋体" w:hAnsi="宋体" w:cs="Arial"/>
                <w:szCs w:val="21"/>
                <w:shd w:val="clear" w:color="auto" w:fill="FFFFFF"/>
              </w:rPr>
              <w:t>了解</w:t>
            </w:r>
            <w:r>
              <w:rPr>
                <w:rFonts w:hint="eastAsia" w:ascii="宋体" w:hAnsi="宋体"/>
                <w:szCs w:val="21"/>
              </w:rPr>
              <w:t>学习的实质与类型，了解</w:t>
            </w:r>
            <w:r>
              <w:rPr>
                <w:rFonts w:hint="eastAsia" w:ascii="宋体" w:hAnsi="宋体" w:cs="Arial"/>
                <w:szCs w:val="21"/>
                <w:shd w:val="clear" w:color="auto" w:fill="FFFFFF"/>
              </w:rPr>
              <w:t>学习动机、学习策略、学习迁移的基本概念及分类，理解不同流派的学习理论、学习动机理论、学习迁移理论，掌握培养中学生学习动机、促进学习迁移的方法及有效的学习策略，</w:t>
            </w:r>
            <w:r>
              <w:rPr>
                <w:rFonts w:hint="eastAsia" w:ascii="Times New Roman" w:hAnsi="Times New Roman"/>
              </w:rPr>
              <w:t>形成初步的教学能力</w:t>
            </w:r>
            <w:r>
              <w:rPr>
                <w:rFonts w:hint="eastAsia" w:ascii="Times New Roman" w:hAnsi="Times New Roman"/>
                <w:lang w:eastAsia="zh-CN"/>
              </w:rPr>
              <w:t>；</w:t>
            </w:r>
            <w:r>
              <w:rPr>
                <w:rFonts w:hint="eastAsia" w:ascii="Times New Roman" w:hAnsi="Times New Roman"/>
                <w:lang w:val="en-US" w:eastAsia="zh-CN"/>
              </w:rPr>
              <w:t>能够</w:t>
            </w:r>
            <w:r>
              <w:rPr>
                <w:rFonts w:hint="eastAsia" w:ascii="宋体" w:hAnsi="宋体"/>
                <w:szCs w:val="21"/>
              </w:rPr>
              <w:t>理解学习共同体的作用，体现团结协作精神，掌握沟通协作技巧，形成一定的沟通合作能力。</w:t>
            </w:r>
            <w:r>
              <w:rPr>
                <w:rFonts w:hint="eastAsia" w:ascii="宋体" w:hAnsi="宋体"/>
              </w:rPr>
              <w:t>是一门理论与实践紧密结合的学科，对中学教师的职前培养和教育教学实践具有指导意义。</w:t>
            </w:r>
          </w:p>
        </w:tc>
      </w:tr>
      <w:tr w14:paraId="07878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0" w:hRule="exact"/>
          <w:jc w:val="center"/>
        </w:trPr>
        <w:tc>
          <w:tcPr>
            <w:tcW w:w="1004" w:type="dxa"/>
            <w:vAlign w:val="center"/>
          </w:tcPr>
          <w:p w14:paraId="0BEF1DD9">
            <w:pPr>
              <w:widowControl/>
              <w:jc w:val="center"/>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3</w:t>
            </w:r>
          </w:p>
        </w:tc>
        <w:tc>
          <w:tcPr>
            <w:tcW w:w="2613" w:type="dxa"/>
            <w:shd w:val="clear" w:color="auto" w:fill="auto"/>
            <w:vAlign w:val="center"/>
          </w:tcPr>
          <w:p w14:paraId="610999CC">
            <w:pPr>
              <w:widowControl/>
              <w:jc w:val="center"/>
              <w:rPr>
                <w:rFonts w:hint="eastAsia" w:ascii="仿宋_GB2312" w:hAnsi="仿宋_GB2312" w:eastAsia="仿宋_GB2312" w:cs="仿宋_GB2312"/>
                <w:b w:val="0"/>
                <w:bCs/>
                <w:spacing w:val="20"/>
                <w:sz w:val="21"/>
                <w:szCs w:val="21"/>
                <w:lang w:val="en-US" w:eastAsia="zh-CN" w:bidi="ar-SA"/>
              </w:rPr>
            </w:pPr>
            <w:r>
              <w:rPr>
                <w:rFonts w:hint="eastAsia" w:ascii="宋体" w:hAnsi="宋体"/>
                <w:szCs w:val="21"/>
                <w:lang w:val="en-US" w:eastAsia="zh-CN"/>
              </w:rPr>
              <w:t>教师职业道德与政策法规</w:t>
            </w:r>
          </w:p>
        </w:tc>
        <w:tc>
          <w:tcPr>
            <w:tcW w:w="5581" w:type="dxa"/>
            <w:tcBorders>
              <w:top w:val="single" w:color="auto" w:sz="4" w:space="0"/>
              <w:bottom w:val="single" w:color="auto" w:sz="4" w:space="0"/>
            </w:tcBorders>
            <w:vAlign w:val="center"/>
          </w:tcPr>
          <w:p w14:paraId="36E80E45">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_GB2312" w:hAnsi="仿宋_GB2312" w:eastAsia="仿宋_GB2312" w:cs="仿宋_GB2312"/>
                <w:b w:val="0"/>
                <w:bCs/>
                <w:spacing w:val="20"/>
                <w:sz w:val="21"/>
                <w:szCs w:val="21"/>
                <w:lang w:val="en-US" w:eastAsia="zh-CN"/>
              </w:rPr>
            </w:pPr>
            <w:r>
              <w:rPr>
                <w:rFonts w:hint="eastAsia" w:ascii="宋体" w:hAnsi="宋体"/>
                <w:szCs w:val="21"/>
                <w:lang w:val="en-US" w:eastAsia="zh-CN"/>
              </w:rPr>
              <w:t>本</w:t>
            </w:r>
            <w:r>
              <w:rPr>
                <w:rFonts w:hint="eastAsia" w:ascii="宋体" w:hAnsi="宋体"/>
                <w:szCs w:val="21"/>
              </w:rPr>
              <w:t>课程</w:t>
            </w:r>
            <w:r>
              <w:rPr>
                <w:rFonts w:hint="eastAsia" w:ascii="宋体" w:hAnsi="宋体"/>
                <w:szCs w:val="21"/>
                <w:lang w:val="en-US" w:eastAsia="zh-CN"/>
              </w:rPr>
              <w:t>主要</w:t>
            </w:r>
            <w:r>
              <w:rPr>
                <w:rFonts w:hint="eastAsia" w:ascii="宋体" w:hAnsi="宋体"/>
                <w:szCs w:val="21"/>
              </w:rPr>
              <w:t>讲授职业理念、教育法律法规、教师职业道德规范等内容，</w:t>
            </w:r>
            <w:r>
              <w:rPr>
                <w:rFonts w:hint="eastAsia" w:ascii="宋体" w:hAnsi="宋体"/>
                <w:szCs w:val="21"/>
                <w:lang w:val="en-US" w:eastAsia="zh-CN"/>
              </w:rPr>
              <w:t>通过学习，能够</w:t>
            </w:r>
            <w:r>
              <w:rPr>
                <w:rFonts w:hint="eastAsia" w:ascii="宋体" w:hAnsi="宋体"/>
                <w:szCs w:val="21"/>
              </w:rPr>
              <w:t>理解国家实施素质教育观、以人为本的学生观、新课程背景下</w:t>
            </w:r>
            <w:r>
              <w:rPr>
                <w:rFonts w:hint="eastAsia" w:ascii="宋体" w:hAnsi="宋体"/>
                <w:szCs w:val="21"/>
                <w:lang w:val="en-US" w:eastAsia="zh-CN"/>
              </w:rPr>
              <w:t>对</w:t>
            </w:r>
            <w:r>
              <w:rPr>
                <w:rFonts w:hint="eastAsia" w:ascii="宋体" w:hAnsi="宋体"/>
                <w:szCs w:val="21"/>
              </w:rPr>
              <w:t>教师的基本要求，掌握“三观”的内涵和在中学教育中的应用，能运用素质教育观分析和评判教育现象</w:t>
            </w:r>
            <w:r>
              <w:rPr>
                <w:rFonts w:hint="eastAsia" w:ascii="宋体" w:hAnsi="宋体"/>
                <w:szCs w:val="21"/>
                <w:lang w:eastAsia="zh-CN"/>
              </w:rPr>
              <w:t>；</w:t>
            </w:r>
            <w:r>
              <w:rPr>
                <w:rFonts w:hint="eastAsia" w:ascii="宋体" w:hAnsi="宋体"/>
                <w:szCs w:val="21"/>
                <w:lang w:val="en-US" w:eastAsia="zh-CN"/>
              </w:rPr>
              <w:t>能够</w:t>
            </w:r>
            <w:r>
              <w:rPr>
                <w:rFonts w:hint="eastAsia" w:ascii="宋体" w:hAnsi="宋体"/>
                <w:szCs w:val="21"/>
              </w:rPr>
              <w:t>掌握教师职业道德的概念与内涵，理解《中小学教师职业道德规范》与行为规范，能够分析评价教育教学实践中教师的道德规范与行为规范问题</w:t>
            </w:r>
            <w:r>
              <w:rPr>
                <w:rFonts w:hint="eastAsia" w:ascii="宋体" w:hAnsi="宋体"/>
                <w:szCs w:val="21"/>
                <w:lang w:eastAsia="zh-CN"/>
              </w:rPr>
              <w:t>；</w:t>
            </w:r>
            <w:r>
              <w:rPr>
                <w:rFonts w:hint="eastAsia" w:ascii="宋体" w:hAnsi="宋体"/>
                <w:szCs w:val="21"/>
                <w:lang w:val="en-US" w:eastAsia="zh-CN"/>
              </w:rPr>
              <w:t>能够</w:t>
            </w:r>
            <w:r>
              <w:rPr>
                <w:rFonts w:hint="eastAsia" w:ascii="宋体" w:hAnsi="宋体"/>
                <w:szCs w:val="21"/>
              </w:rPr>
              <w:t>了解我国主要的教育法律法规。理解教师的权利和义务、学生权利保护的教育法律法规，熟悉国家有关教育法律法规所规范的教师教育行为，依法从教，能够依据教育法律法规，分析评价教师在教育教学活动中的实际问题。进而树立正确的教育理念，在教育教学实践中遵守法律，践行教师职业道德规范。</w:t>
            </w:r>
          </w:p>
        </w:tc>
      </w:tr>
      <w:tr w14:paraId="070D6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1" w:hRule="exact"/>
          <w:jc w:val="center"/>
        </w:trPr>
        <w:tc>
          <w:tcPr>
            <w:tcW w:w="1004" w:type="dxa"/>
            <w:vAlign w:val="center"/>
          </w:tcPr>
          <w:p w14:paraId="3BD08FA6">
            <w:pPr>
              <w:widowControl/>
              <w:jc w:val="center"/>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4</w:t>
            </w:r>
          </w:p>
        </w:tc>
        <w:tc>
          <w:tcPr>
            <w:tcW w:w="2613" w:type="dxa"/>
            <w:shd w:val="clear" w:color="auto" w:fill="auto"/>
            <w:vAlign w:val="center"/>
          </w:tcPr>
          <w:p w14:paraId="514217D3">
            <w:pPr>
              <w:widowControl/>
              <w:jc w:val="center"/>
              <w:rPr>
                <w:rFonts w:hint="eastAsia" w:ascii="仿宋_GB2312" w:hAnsi="仿宋_GB2312" w:eastAsia="仿宋_GB2312" w:cs="仿宋_GB2312"/>
                <w:b w:val="0"/>
                <w:bCs/>
                <w:spacing w:val="20"/>
                <w:sz w:val="21"/>
                <w:szCs w:val="21"/>
                <w:lang w:val="en-US" w:eastAsia="zh-CN" w:bidi="ar-SA"/>
              </w:rPr>
            </w:pPr>
            <w:r>
              <w:rPr>
                <w:rFonts w:hint="eastAsia" w:ascii="仿宋_GB2312" w:hAnsi="仿宋_GB2312" w:eastAsia="仿宋_GB2312" w:cs="仿宋_GB2312"/>
                <w:b w:val="0"/>
                <w:bCs/>
                <w:spacing w:val="20"/>
                <w:sz w:val="21"/>
                <w:szCs w:val="21"/>
                <w:lang w:val="en-US" w:eastAsia="zh-CN"/>
              </w:rPr>
              <w:t>教师职业能力训练1</w:t>
            </w:r>
          </w:p>
        </w:tc>
        <w:tc>
          <w:tcPr>
            <w:tcW w:w="5581" w:type="dxa"/>
            <w:tcBorders>
              <w:top w:val="single" w:color="auto" w:sz="4" w:space="0"/>
              <w:bottom w:val="single" w:color="auto" w:sz="4" w:space="0"/>
            </w:tcBorders>
            <w:vAlign w:val="center"/>
          </w:tcPr>
          <w:p w14:paraId="2F9EBA06">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cs="宋体"/>
                <w:szCs w:val="21"/>
                <w:highlight w:val="none"/>
              </w:rPr>
            </w:pPr>
            <w:r>
              <w:rPr>
                <w:rFonts w:hint="eastAsia" w:ascii="宋体" w:hAnsi="宋体" w:cs="宋体"/>
                <w:szCs w:val="21"/>
                <w:highlight w:val="none"/>
                <w:lang w:val="en-US" w:eastAsia="zh-CN"/>
              </w:rPr>
              <w:t>本课程是</w:t>
            </w:r>
            <w:r>
              <w:rPr>
                <w:rFonts w:hint="eastAsia" w:ascii="宋体" w:hAnsi="宋体" w:cs="宋体"/>
                <w:szCs w:val="21"/>
                <w:highlight w:val="none"/>
              </w:rPr>
              <w:t>以新时期教师必备的专业素养为核心，主要介绍了</w:t>
            </w:r>
            <w:r>
              <w:rPr>
                <w:rFonts w:hint="eastAsia" w:ascii="宋体" w:hAnsi="宋体" w:cs="宋体"/>
                <w:szCs w:val="21"/>
                <w:highlight w:val="none"/>
                <w:lang w:val="en-US" w:eastAsia="zh-CN"/>
              </w:rPr>
              <w:t>课程标准和教学设计的基本理论并作针对性的能力培养及提升训练。通过学习，学生能够熟悉课程标准的相关内容；</w:t>
            </w:r>
            <w:r>
              <w:rPr>
                <w:rFonts w:hint="eastAsia" w:ascii="宋体" w:hAnsi="宋体" w:cs="宋体"/>
                <w:szCs w:val="21"/>
                <w:highlight w:val="none"/>
              </w:rPr>
              <w:t>了解课程教学基本理论，掌握课程教学的基本理念、特点、规律和原则；熟悉课程教学的组织形式和基本环节</w:t>
            </w:r>
            <w:r>
              <w:rPr>
                <w:rFonts w:hint="eastAsia" w:ascii="宋体" w:hAnsi="宋体" w:cs="宋体"/>
                <w:szCs w:val="21"/>
                <w:highlight w:val="none"/>
                <w:lang w:eastAsia="zh-CN"/>
              </w:rPr>
              <w:t>。</w:t>
            </w:r>
            <w:r>
              <w:rPr>
                <w:rFonts w:hint="eastAsia" w:ascii="宋体" w:hAnsi="宋体" w:cs="宋体"/>
                <w:szCs w:val="21"/>
                <w:highlight w:val="none"/>
                <w:lang w:val="en-US" w:eastAsia="zh-CN"/>
              </w:rPr>
              <w:t>能够</w:t>
            </w:r>
            <w:r>
              <w:rPr>
                <w:rFonts w:hint="eastAsia" w:ascii="宋体" w:hAnsi="宋体" w:cs="宋体"/>
                <w:szCs w:val="21"/>
                <w:highlight w:val="none"/>
              </w:rPr>
              <w:t>理解课程教学设计的含义及其意义；掌握课程教学设计的基本依据；理解新课程理念下教师教学设计的基本原则和要求；掌握教学设计的框架结构。能够运用教学设计的基本理论，围绕教学目标、教学重难点、教学方法、教学环节等相关内容，对中</w:t>
            </w:r>
            <w:r>
              <w:rPr>
                <w:rFonts w:hint="eastAsia" w:ascii="宋体" w:hAnsi="宋体" w:cs="宋体"/>
                <w:szCs w:val="21"/>
                <w:highlight w:val="none"/>
                <w:lang w:val="en-US" w:eastAsia="zh-CN"/>
              </w:rPr>
              <w:t>小</w:t>
            </w:r>
            <w:r>
              <w:rPr>
                <w:rFonts w:hint="eastAsia" w:ascii="宋体" w:hAnsi="宋体" w:cs="宋体"/>
                <w:szCs w:val="21"/>
                <w:highlight w:val="none"/>
              </w:rPr>
              <w:t>学</w:t>
            </w:r>
            <w:r>
              <w:rPr>
                <w:rFonts w:hint="eastAsia" w:ascii="宋体" w:hAnsi="宋体" w:cs="宋体"/>
                <w:szCs w:val="21"/>
                <w:highlight w:val="none"/>
                <w:lang w:val="en-US" w:eastAsia="zh-CN"/>
              </w:rPr>
              <w:t>课程</w:t>
            </w:r>
            <w:r>
              <w:rPr>
                <w:rFonts w:hint="eastAsia" w:ascii="宋体" w:hAnsi="宋体" w:cs="宋体"/>
                <w:szCs w:val="21"/>
                <w:highlight w:val="none"/>
              </w:rPr>
              <w:t>教学内容进行教学设计，有效开展课堂教学。掌握教学评价的一般理论，能够运用教学评价理论进行教学评价与教学反思，做到理论与实践相结合。</w:t>
            </w:r>
          </w:p>
          <w:p w14:paraId="1F61B814">
            <w:pPr>
              <w:widowControl/>
              <w:spacing w:line="360" w:lineRule="auto"/>
              <w:jc w:val="left"/>
              <w:rPr>
                <w:rFonts w:hint="eastAsia" w:ascii="仿宋_GB2312" w:hAnsi="仿宋_GB2312" w:eastAsia="仿宋_GB2312" w:cs="仿宋_GB2312"/>
                <w:b w:val="0"/>
                <w:bCs/>
                <w:spacing w:val="20"/>
                <w:sz w:val="21"/>
                <w:szCs w:val="21"/>
                <w:lang w:val="en-US" w:eastAsia="zh-CN"/>
              </w:rPr>
            </w:pPr>
          </w:p>
        </w:tc>
      </w:tr>
      <w:tr w14:paraId="1D179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6" w:hRule="exact"/>
          <w:jc w:val="center"/>
        </w:trPr>
        <w:tc>
          <w:tcPr>
            <w:tcW w:w="1004" w:type="dxa"/>
            <w:vAlign w:val="center"/>
          </w:tcPr>
          <w:p w14:paraId="00DFAFF9">
            <w:pPr>
              <w:widowControl/>
              <w:jc w:val="center"/>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5</w:t>
            </w:r>
          </w:p>
        </w:tc>
        <w:tc>
          <w:tcPr>
            <w:tcW w:w="2613" w:type="dxa"/>
            <w:vAlign w:val="center"/>
          </w:tcPr>
          <w:p w14:paraId="444EB702">
            <w:pPr>
              <w:widowControl/>
              <w:jc w:val="center"/>
              <w:rPr>
                <w:rFonts w:hint="default" w:ascii="仿宋_GB2312" w:hAnsi="仿宋_GB2312" w:eastAsia="仿宋_GB2312" w:cs="仿宋_GB2312"/>
                <w:bCs/>
                <w:sz w:val="21"/>
                <w:szCs w:val="21"/>
                <w:lang w:val="en-US"/>
              </w:rPr>
            </w:pPr>
            <w:r>
              <w:rPr>
                <w:rFonts w:hint="eastAsia" w:ascii="仿宋_GB2312" w:hAnsi="仿宋_GB2312" w:eastAsia="仿宋_GB2312" w:cs="仿宋_GB2312"/>
                <w:b w:val="0"/>
                <w:bCs/>
                <w:spacing w:val="20"/>
                <w:sz w:val="21"/>
                <w:szCs w:val="21"/>
                <w:lang w:val="en-US" w:eastAsia="zh-CN"/>
              </w:rPr>
              <w:t>教师职业能力训练2</w:t>
            </w:r>
          </w:p>
        </w:tc>
        <w:tc>
          <w:tcPr>
            <w:tcW w:w="5581" w:type="dxa"/>
            <w:tcBorders>
              <w:top w:val="single" w:color="auto" w:sz="4" w:space="0"/>
              <w:bottom w:val="single" w:color="auto" w:sz="4" w:space="0"/>
            </w:tcBorders>
            <w:vAlign w:val="center"/>
          </w:tcPr>
          <w:p w14:paraId="1EF8EF99">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default" w:ascii="宋体" w:hAnsi="宋体" w:cs="宋体"/>
                <w:szCs w:val="21"/>
                <w:highlight w:val="none"/>
                <w:lang w:val="en-US" w:eastAsia="zh-CN"/>
              </w:rPr>
            </w:pPr>
            <w:r>
              <w:rPr>
                <w:rFonts w:hint="eastAsia" w:ascii="宋体" w:hAnsi="宋体" w:cs="宋体"/>
                <w:szCs w:val="21"/>
                <w:highlight w:val="none"/>
                <w:lang w:val="en-US" w:eastAsia="zh-CN"/>
              </w:rPr>
              <w:t>本课程是一门实训课程，通过实训，学生能够将教育教学理论应用于课堂教学之中，熟练掌握课堂教学环节，灵活运用教学方法，有效组织学生参与课堂教学，及时应对课堂生成问题，并能够对教学进行教学评价和全面反思。</w:t>
            </w:r>
            <w:r>
              <w:rPr>
                <w:rFonts w:hint="eastAsia" w:ascii="宋体" w:hAnsi="宋体" w:cs="宋体"/>
                <w:szCs w:val="21"/>
                <w:highlight w:val="none"/>
              </w:rPr>
              <w:t>通过</w:t>
            </w:r>
            <w:r>
              <w:rPr>
                <w:rFonts w:hint="eastAsia" w:ascii="宋体" w:hAnsi="宋体" w:cs="宋体"/>
                <w:szCs w:val="21"/>
                <w:highlight w:val="none"/>
                <w:lang w:val="en-US" w:eastAsia="zh-CN"/>
              </w:rPr>
              <w:t>实操</w:t>
            </w:r>
            <w:r>
              <w:rPr>
                <w:rFonts w:hint="eastAsia" w:ascii="宋体" w:hAnsi="宋体" w:cs="宋体"/>
                <w:szCs w:val="21"/>
                <w:highlight w:val="none"/>
              </w:rPr>
              <w:t>训练，</w:t>
            </w:r>
            <w:r>
              <w:rPr>
                <w:rFonts w:hint="eastAsia" w:ascii="宋体" w:hAnsi="宋体" w:cs="宋体"/>
                <w:szCs w:val="21"/>
                <w:highlight w:val="none"/>
                <w:lang w:val="en-US" w:eastAsia="zh-CN"/>
              </w:rPr>
              <w:t>学生能够从容地走上讲台，具有</w:t>
            </w:r>
            <w:r>
              <w:rPr>
                <w:rFonts w:hint="eastAsia" w:ascii="宋体" w:hAnsi="宋体" w:cs="宋体"/>
                <w:szCs w:val="21"/>
                <w:highlight w:val="none"/>
              </w:rPr>
              <w:t>熟练运用教学技能进行教学活动的能力。</w:t>
            </w:r>
          </w:p>
          <w:p w14:paraId="4E4420F4">
            <w:pPr>
              <w:widowControl/>
              <w:spacing w:line="360" w:lineRule="auto"/>
              <w:jc w:val="both"/>
              <w:rPr>
                <w:rFonts w:hint="eastAsia" w:ascii="仿宋_GB2312" w:hAnsi="仿宋_GB2312" w:eastAsia="仿宋_GB2312" w:cs="仿宋_GB2312"/>
                <w:b w:val="0"/>
                <w:bCs/>
                <w:spacing w:val="20"/>
                <w:sz w:val="21"/>
                <w:szCs w:val="21"/>
                <w:lang w:val="en-US" w:eastAsia="zh-CN"/>
              </w:rPr>
            </w:pPr>
          </w:p>
        </w:tc>
      </w:tr>
    </w:tbl>
    <w:p w14:paraId="2363F1DA">
      <w:pPr>
        <w:keepNext w:val="0"/>
        <w:keepLines w:val="0"/>
        <w:pageBreakBefore w:val="0"/>
        <w:widowControl/>
        <w:suppressLineNumbers w:val="0"/>
        <w:kinsoku/>
        <w:wordWrap/>
        <w:overflowPunct/>
        <w:topLinePunct w:val="0"/>
        <w:autoSpaceDE/>
        <w:autoSpaceDN/>
        <w:bidi w:val="0"/>
        <w:adjustRightInd/>
        <w:snapToGrid/>
        <w:spacing w:line="288" w:lineRule="auto"/>
        <w:ind w:firstLine="560" w:firstLineChars="200"/>
        <w:jc w:val="left"/>
        <w:textAlignment w:val="auto"/>
        <w:rPr>
          <w:rFonts w:hint="eastAsia" w:ascii="仿宋" w:hAnsi="仿宋" w:eastAsia="仿宋" w:cs="仿宋"/>
          <w:color w:val="auto"/>
          <w:kern w:val="0"/>
          <w:sz w:val="28"/>
          <w:szCs w:val="28"/>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954CCC"/>
    <w:rsid w:val="00C11035"/>
    <w:rsid w:val="06A64F55"/>
    <w:rsid w:val="07134BE0"/>
    <w:rsid w:val="0C4F1BEB"/>
    <w:rsid w:val="0DBF09DF"/>
    <w:rsid w:val="14260976"/>
    <w:rsid w:val="18954CCC"/>
    <w:rsid w:val="18FB5588"/>
    <w:rsid w:val="2E344345"/>
    <w:rsid w:val="35C91914"/>
    <w:rsid w:val="3A0E1EEE"/>
    <w:rsid w:val="3B293FAB"/>
    <w:rsid w:val="3D9372DA"/>
    <w:rsid w:val="407A652F"/>
    <w:rsid w:val="443B3F71"/>
    <w:rsid w:val="44B10046"/>
    <w:rsid w:val="49AB5498"/>
    <w:rsid w:val="4C5639AD"/>
    <w:rsid w:val="4FEC53D5"/>
    <w:rsid w:val="51990FEF"/>
    <w:rsid w:val="55646256"/>
    <w:rsid w:val="6DD24A05"/>
    <w:rsid w:val="747A19E2"/>
    <w:rsid w:val="74FF4332"/>
    <w:rsid w:val="7F3370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2444</Words>
  <Characters>2474</Characters>
  <Lines>0</Lines>
  <Paragraphs>0</Paragraphs>
  <TotalTime>1</TotalTime>
  <ScaleCrop>false</ScaleCrop>
  <LinksUpToDate>false</LinksUpToDate>
  <CharactersWithSpaces>2474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2025-03-06T07:26:00Z</dcterms:created>
  <dc:creator>刘智</dc:creator>
  <cp:lastModifiedBy>不渡</cp:lastModifiedBy>
  <cp:lastPrinted>2026-03-02T06:49:40Z</cp:lastPrinted>
  <dcterms:modified xsi:type="dcterms:W3CDTF">2026-03-02T06:51:52Z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34B9DB0A330C45D9993E969089B49924_13</vt:lpwstr>
  </property>
  <property fmtid="{D5CDD505-2E9C-101B-9397-08002B2CF9AE}" pid="4" name="KSOTemplateDocerSaveRecord">
    <vt:lpwstr>eyJoZGlkIjoiN2FhMTNhMjM5ZDM5ZWJlMGE3NjJhMTFiOTFkZjI3OTciLCJ1c2VySWQiOiIyNzM4NTg2NjEifQ==</vt:lpwstr>
  </property>
</Properties>
</file>